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版本号：ZJZBSX-260209-004220260226001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采购轴承故障预测模拟实验台项目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ZJZBSX-260209-0042</w:t>
      </w:r>
      <w:r>
        <w:br/>
      </w:r>
      <w:r>
        <w:br/>
      </w:r>
      <w:r>
        <w:br/>
      </w:r>
    </w:p>
    <w:p>
      <w:pPr>
        <w:pStyle w:val="null3"/>
        <w:jc w:val="center"/>
        <w:outlineLvl w:val="2"/>
      </w:pPr>
      <w:r>
        <w:rPr>
          <w:rFonts w:ascii="仿宋_GB2312" w:hAnsi="仿宋_GB2312" w:cs="仿宋_GB2312" w:eastAsia="仿宋_GB2312"/>
          <w:sz w:val="28"/>
          <w:b/>
        </w:rPr>
        <w:t>西安邮电大学</w:t>
      </w:r>
    </w:p>
    <w:p>
      <w:pPr>
        <w:pStyle w:val="null3"/>
        <w:jc w:val="center"/>
        <w:outlineLvl w:val="2"/>
      </w:pPr>
      <w:r>
        <w:rPr>
          <w:rFonts w:ascii="仿宋_GB2312" w:hAnsi="仿宋_GB2312" w:cs="仿宋_GB2312" w:eastAsia="仿宋_GB2312"/>
          <w:sz w:val="28"/>
          <w:b/>
        </w:rPr>
        <w:t>陕西中经招标有限公司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陕西中经招标有限公司</w:t>
      </w:r>
      <w:r>
        <w:rPr>
          <w:rFonts w:ascii="仿宋_GB2312" w:hAnsi="仿宋_GB2312" w:cs="仿宋_GB2312" w:eastAsia="仿宋_GB2312"/>
        </w:rPr>
        <w:t>（以下简称“代理机构”）受</w:t>
      </w:r>
      <w:r>
        <w:rPr>
          <w:rFonts w:ascii="仿宋_GB2312" w:hAnsi="仿宋_GB2312" w:cs="仿宋_GB2312" w:eastAsia="仿宋_GB2312"/>
        </w:rPr>
        <w:t>西安邮电大学</w:t>
      </w:r>
      <w:r>
        <w:rPr>
          <w:rFonts w:ascii="仿宋_GB2312" w:hAnsi="仿宋_GB2312" w:cs="仿宋_GB2312" w:eastAsia="仿宋_GB2312"/>
        </w:rPr>
        <w:t>委托，拟对</w:t>
      </w:r>
      <w:r>
        <w:rPr>
          <w:rFonts w:ascii="仿宋_GB2312" w:hAnsi="仿宋_GB2312" w:cs="仿宋_GB2312" w:eastAsia="仿宋_GB2312"/>
        </w:rPr>
        <w:t>采购轴承故障预测模拟实验台项目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ZJZBSX-260209-0042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采购轴承故障预测模拟实验台项目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采购轴承故障预测模拟实验台项目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采购包1（采购轴承故障预测模拟实验台项目）：属于专门面向中小企业采购。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p>
      <w:pPr>
        <w:pStyle w:val="null3"/>
      </w:pPr>
      <w:r>
        <w:rPr>
          <w:rFonts w:ascii="仿宋_GB2312" w:hAnsi="仿宋_GB2312" w:cs="仿宋_GB2312" w:eastAsia="仿宋_GB2312"/>
        </w:rPr>
        <w:t>2、授权委托：供应商应授权合法的人员参加投标全过程，其中法定代表人/负责人直接投标，须提交法定代表人/负责人身份证明书原件和身份证原件。法定代表人/负责人授权代表参加投标的，须出具法定代表人/负责人授权书原件及授权代表身份证原件。供应商需在项目电子化交易系统中按要求上传相应证明文件并进行电子签章。</w:t>
      </w:r>
    </w:p>
    <w:p>
      <w:pPr>
        <w:pStyle w:val="null3"/>
      </w:pPr>
      <w:r>
        <w:rPr>
          <w:rFonts w:ascii="仿宋_GB2312" w:hAnsi="仿宋_GB2312" w:cs="仿宋_GB2312" w:eastAsia="仿宋_GB2312"/>
        </w:rPr>
        <w:t>3、财务状况报告：供应商提供2024年度经审计的完整财务审计报告（审计报告应当包含报告正文、资产负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4、社会保障资金缴纳证明：供应商提供2025年02月01日至响应文件递交截止日已缴存的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5、税收缴纳证明：供应商提供2025年02月01日至响应文件递交截止日已缴存的任意一个月的纳税证明或完税证明，纳税证明或完税证明上应有代收机构或税务机关的公章，依法免税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6、书面声明（信用记录）：参加本次政府采购活动前3年内在经营活动中没有重大违纪，以及未被列入失信被执行人、重大税收违法案件当事人名单、政府采购严重违法失信行为记录名单的书面声明原件。供应商需在项目电子化交易系统中按要求上传相应证明文件并进行电子签章。</w:t>
      </w:r>
    </w:p>
    <w:p>
      <w:pPr>
        <w:pStyle w:val="null3"/>
      </w:pPr>
      <w:r>
        <w:rPr>
          <w:rFonts w:ascii="仿宋_GB2312" w:hAnsi="仿宋_GB2312" w:cs="仿宋_GB2312" w:eastAsia="仿宋_GB2312"/>
        </w:rPr>
        <w:t>7、承诺书：提供具有履行合同所必需的设备和专业技术能力的承诺原件。供应商需在项目电子化交易系统中按要求上传相应证明文件并进行电子签章。</w:t>
      </w:r>
    </w:p>
    <w:p>
      <w:pPr>
        <w:pStyle w:val="null3"/>
      </w:pPr>
      <w:r>
        <w:rPr>
          <w:rFonts w:ascii="仿宋_GB2312" w:hAnsi="仿宋_GB2312" w:cs="仿宋_GB2312" w:eastAsia="仿宋_GB2312"/>
        </w:rPr>
        <w:t>8、中小企业声明函：本项目为专门面向中小企业采购项目，供应商应为中型企业或小型、微型企业或监狱企业或残疾人福利性单位。供应商需在项目电子化交易系统中按要求上传相应证明文件并进行电子签章。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西安邮电大学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西安邮电大学经办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029-88166850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陕西中经招标有限公司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西安市碑林区长安北路8B陕西高速大厦16层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王佼、祝清江、刘婷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029-87888601-8014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开户名称：陕西中经招标有限公司</w:t>
            </w:r>
          </w:p>
          <w:p>
            <w:pPr>
              <w:pStyle w:val="null3"/>
            </w:pPr>
            <w:r>
              <w:rPr>
                <w:rFonts w:ascii="仿宋_GB2312" w:hAnsi="仿宋_GB2312" w:cs="仿宋_GB2312" w:eastAsia="仿宋_GB2312"/>
              </w:rPr>
              <w:t>开户银行：中国工商银行股份有限公司大雁塔支行</w:t>
            </w:r>
          </w:p>
          <w:p>
            <w:pPr>
              <w:pStyle w:val="null3"/>
            </w:pPr>
            <w:r>
              <w:rPr>
                <w:rFonts w:ascii="仿宋_GB2312" w:hAnsi="仿宋_GB2312" w:cs="仿宋_GB2312" w:eastAsia="仿宋_GB2312"/>
              </w:rPr>
              <w:t>银行账号：3700022319200103385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代理服务费收费标准：按计价格[2002]1980号文件及发改办【2003】857号文件规定标准（50万元以下按标准的100%、50万元（含）以上按标准的80%）支付。具体以代理机构出具的发票为准。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西安邮电大学</w:t>
      </w:r>
      <w:r>
        <w:rPr>
          <w:rFonts w:ascii="仿宋_GB2312" w:hAnsi="仿宋_GB2312" w:cs="仿宋_GB2312" w:eastAsia="仿宋_GB2312"/>
        </w:rPr>
        <w:t>和</w:t>
      </w:r>
      <w:r>
        <w:rPr>
          <w:rFonts w:ascii="仿宋_GB2312" w:hAnsi="仿宋_GB2312" w:cs="仿宋_GB2312" w:eastAsia="仿宋_GB2312"/>
        </w:rPr>
        <w:t>陕西中经招标有限公司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西安邮电大学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陕西中经招标有限公司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西安邮电大学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陕西中经招标有限公司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联系人：王佼</w:t>
      </w:r>
    </w:p>
    <w:p>
      <w:pPr>
        <w:pStyle w:val="null3"/>
      </w:pPr>
      <w:r>
        <w:rPr>
          <w:rFonts w:ascii="仿宋_GB2312" w:hAnsi="仿宋_GB2312" w:cs="仿宋_GB2312" w:eastAsia="仿宋_GB2312"/>
        </w:rPr>
        <w:t>联系电话：029-87888601-8014</w:t>
      </w:r>
    </w:p>
    <w:p>
      <w:pPr>
        <w:pStyle w:val="null3"/>
      </w:pPr>
      <w:r>
        <w:rPr>
          <w:rFonts w:ascii="仿宋_GB2312" w:hAnsi="仿宋_GB2312" w:cs="仿宋_GB2312" w:eastAsia="仿宋_GB2312"/>
        </w:rPr>
        <w:t>地址：西安市碑林区长安北路8B陕西高速大厦16层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随着高端装备制造业向“高速、重载、高精度、高可靠性”方向发展，齿轮与轴承作为传动系统的核心部件，其疲劳磨损性能直接决定装备的可靠性与寿命。在航空航天、风电及新能源汽车等领域，以高性能轴承、行星齿轮箱、平行齿轮传动为核心的关键传动系统故障率居高不下，已成为制约装备性能提升的突出短板。这一问题的根源在于复杂工况下失效机理认识不足，缺乏能模拟实际运行环境的高效试验研究手段。传统设备功能单一、模拟能力有限，难以满足前沿科研与人才培养需求。因此，建设一套可模拟复杂载荷、集成多源信息感知、支持故障预测与健康管理（PHM）技术研究的综合性实验平台，是突破技术瓶颈、落实国家科技发展战略的迫切需求，对提升装备制造业自主创新能力和战略安全保障水平具有重大意义。</w:t>
      </w:r>
    </w:p>
    <w:p>
      <w:pPr>
        <w:pStyle w:val="null3"/>
        <w:ind w:firstLine="400"/>
      </w:pPr>
      <w:r>
        <w:rPr>
          <w:rFonts w:ascii="仿宋_GB2312" w:hAnsi="仿宋_GB2312" w:cs="仿宋_GB2312" w:eastAsia="仿宋_GB2312"/>
          <w:sz w:val="21"/>
        </w:rPr>
        <w:t>然而，实验室现有的实验平台存在：功能单一，仅能测试轴承或齿轮等单一部件，无法模拟行星齿轮、轴承在真实传动系统中的耦合交互影响，导致对系统级故障机理的研究缺失；工况模拟能力薄弱，难以复现变载荷、冲击及极端环境等复杂工况，使实验数据与工程实际严重脱节；数据采集维度低，仅配备基本传感器，缺乏对声发射、温度、油液磨屑等多物理量的同步高精度采集能力，无法为多源信息融合模型提供数据支撑；缺乏故障植入与可控演化能力，无法捕捉故障从萌生到恶化的全过程数据，阻碍了对失效物理机理的深度挖掘。这些缺陷已成为制约本领域科研深度与广度拓展的关键障碍，难以满足以下实际需求：</w:t>
      </w:r>
    </w:p>
    <w:p>
      <w:pPr>
        <w:pStyle w:val="null3"/>
        <w:ind w:firstLine="402"/>
      </w:pPr>
      <w:r>
        <w:rPr>
          <w:rFonts w:ascii="仿宋_GB2312" w:hAnsi="仿宋_GB2312" w:cs="仿宋_GB2312" w:eastAsia="仿宋_GB2312"/>
          <w:sz w:val="21"/>
          <w:b/>
        </w:rPr>
        <w:t>学科科学研究引领层面</w:t>
      </w:r>
      <w:r>
        <w:rPr>
          <w:rFonts w:ascii="仿宋_GB2312" w:hAnsi="仿宋_GB2312" w:cs="仿宋_GB2312" w:eastAsia="仿宋_GB2312"/>
          <w:sz w:val="21"/>
        </w:rPr>
        <w:t>：平台可深化故障机理研究、创新PHM算法并推动数字孪生落地，破解“灾难性遗忘”等持续性在线智慧运维难题。</w:t>
      </w:r>
    </w:p>
    <w:p>
      <w:pPr>
        <w:pStyle w:val="null3"/>
        <w:ind w:firstLine="402"/>
      </w:pPr>
      <w:r>
        <w:rPr>
          <w:rFonts w:ascii="仿宋_GB2312" w:hAnsi="仿宋_GB2312" w:cs="仿宋_GB2312" w:eastAsia="仿宋_GB2312"/>
          <w:sz w:val="21"/>
          <w:b/>
        </w:rPr>
        <w:t>人才培养与教学改革支撑层面</w:t>
      </w:r>
      <w:r>
        <w:rPr>
          <w:rFonts w:ascii="仿宋_GB2312" w:hAnsi="仿宋_GB2312" w:cs="仿宋_GB2312" w:eastAsia="仿宋_GB2312"/>
          <w:sz w:val="21"/>
          <w:b/>
        </w:rPr>
        <w:t>：</w:t>
      </w:r>
      <w:r>
        <w:rPr>
          <w:rFonts w:ascii="仿宋_GB2312" w:hAnsi="仿宋_GB2312" w:cs="仿宋_GB2312" w:eastAsia="仿宋_GB2312"/>
          <w:sz w:val="21"/>
        </w:rPr>
        <w:t>革新课程体系、提升科研训练质量并构建跨学科实践能力，彻底改变实验教学模式，培养高素质复合型创新人才。</w:t>
      </w:r>
    </w:p>
    <w:p>
      <w:pPr>
        <w:pStyle w:val="null3"/>
        <w:ind w:firstLine="402"/>
      </w:pPr>
      <w:r>
        <w:rPr>
          <w:rFonts w:ascii="仿宋_GB2312" w:hAnsi="仿宋_GB2312" w:cs="仿宋_GB2312" w:eastAsia="仿宋_GB2312"/>
          <w:sz w:val="21"/>
          <w:b/>
        </w:rPr>
        <w:t>学科建设与平台发展层面</w:t>
      </w:r>
      <w:r>
        <w:rPr>
          <w:rFonts w:ascii="仿宋_GB2312" w:hAnsi="仿宋_GB2312" w:cs="仿宋_GB2312" w:eastAsia="仿宋_GB2312"/>
          <w:sz w:val="21"/>
          <w:b/>
        </w:rPr>
        <w:t>：</w:t>
      </w:r>
      <w:r>
        <w:rPr>
          <w:rFonts w:ascii="仿宋_GB2312" w:hAnsi="仿宋_GB2312" w:cs="仿宋_GB2312" w:eastAsia="仿宋_GB2312"/>
          <w:sz w:val="21"/>
        </w:rPr>
        <w:t>强化重点学科优势、促进交叉学科融合并打造高水平科研基地，显著提升学科的学术地位与产学研合作能力。</w:t>
      </w:r>
    </w:p>
    <w:p>
      <w:pPr>
        <w:pStyle w:val="null3"/>
        <w:ind w:firstLine="400"/>
      </w:pPr>
      <w:r>
        <w:rPr>
          <w:rFonts w:ascii="仿宋_GB2312" w:hAnsi="仿宋_GB2312" w:cs="仿宋_GB2312" w:eastAsia="仿宋_GB2312"/>
          <w:sz w:val="21"/>
        </w:rPr>
        <w:t>综上所述，建设“轴承故障预测模拟实验平台”绝非简单的设备采购，而是一项是紧扣我校工业互联网与智能制造方向前瞻性和战略性的基础设施投资。因此，本项目所采购的轴承故障预测模拟实验台可为研究方向提供如下支持：</w:t>
      </w:r>
    </w:p>
    <w:p>
      <w:pPr>
        <w:pStyle w:val="null3"/>
        <w:ind w:firstLine="402"/>
      </w:pPr>
      <w:r>
        <w:rPr>
          <w:rFonts w:ascii="仿宋_GB2312" w:hAnsi="仿宋_GB2312" w:cs="仿宋_GB2312" w:eastAsia="仿宋_GB2312"/>
          <w:sz w:val="21"/>
          <w:b/>
        </w:rPr>
        <w:t>多工况、可控化的轴承故障演化模拟能力：</w:t>
      </w:r>
      <w:r>
        <w:rPr>
          <w:rFonts w:ascii="仿宋_GB2312" w:hAnsi="仿宋_GB2312" w:cs="仿宋_GB2312" w:eastAsia="仿宋_GB2312"/>
          <w:sz w:val="21"/>
        </w:rPr>
        <w:t>实验台可在转速、载荷、温度、润滑状态等多变量条件下，模拟轴承、行星齿轮和平行齿轮从健康状态到早期退化、再到严重失效的全过程，为研究故障机理与退化规律提供真实、可重复的实验环境。</w:t>
      </w:r>
    </w:p>
    <w:p>
      <w:pPr>
        <w:pStyle w:val="null3"/>
        <w:ind w:firstLine="402"/>
      </w:pPr>
      <w:r>
        <w:rPr>
          <w:rFonts w:ascii="仿宋_GB2312" w:hAnsi="仿宋_GB2312" w:cs="仿宋_GB2312" w:eastAsia="仿宋_GB2312"/>
          <w:sz w:val="21"/>
          <w:b/>
        </w:rPr>
        <w:t>智能诊断与预测算法的验证能力：</w:t>
      </w:r>
      <w:r>
        <w:rPr>
          <w:rFonts w:ascii="仿宋_GB2312" w:hAnsi="仿宋_GB2312" w:cs="仿宋_GB2312" w:eastAsia="仿宋_GB2312"/>
          <w:sz w:val="21"/>
        </w:rPr>
        <w:t>实验台可作为新型信号处理方法、机器学习与深度学习模型的验证平台，实现不同算法在统一工况和数据条件下的对比评测，加速算法从理论研究走向工程应用。</w:t>
      </w:r>
    </w:p>
    <w:p>
      <w:pPr>
        <w:pStyle w:val="null3"/>
        <w:ind w:firstLine="402"/>
      </w:pPr>
      <w:r>
        <w:rPr>
          <w:rFonts w:ascii="仿宋_GB2312" w:hAnsi="仿宋_GB2312" w:cs="仿宋_GB2312" w:eastAsia="仿宋_GB2312"/>
          <w:sz w:val="21"/>
          <w:b/>
        </w:rPr>
        <w:t>跨学科融合与科研创新能力：</w:t>
      </w:r>
      <w:r>
        <w:rPr>
          <w:rFonts w:ascii="仿宋_GB2312" w:hAnsi="仿宋_GB2312" w:cs="仿宋_GB2312" w:eastAsia="仿宋_GB2312"/>
          <w:sz w:val="21"/>
        </w:rPr>
        <w:t>平台天然融合机械工程、控制科学、人工智能、信息与通信工程等多学科，为开展交叉创新研究、申报高水平科研项目和产学研合作提供坚实的实验基础。</w:t>
      </w:r>
    </w:p>
    <w:p>
      <w:pPr>
        <w:pStyle w:val="null3"/>
        <w:ind w:firstLine="402"/>
      </w:pPr>
      <w:r>
        <w:rPr>
          <w:rFonts w:ascii="仿宋_GB2312" w:hAnsi="仿宋_GB2312" w:cs="仿宋_GB2312" w:eastAsia="仿宋_GB2312"/>
          <w:sz w:val="21"/>
          <w:b/>
        </w:rPr>
        <w:t>高水平工程实践与人才培养能力：</w:t>
      </w:r>
      <w:r>
        <w:rPr>
          <w:rFonts w:ascii="仿宋_GB2312" w:hAnsi="仿宋_GB2312" w:cs="仿宋_GB2312" w:eastAsia="仿宋_GB2312"/>
          <w:sz w:val="21"/>
        </w:rPr>
        <w:t>实验台可服务于本科实验教学、研究生科研训练和工程实践课程，使学生在真实工程场景中完成故障建模、数据分析与系统实现，全面提升其工程实践能力与创新能力。</w:t>
      </w:r>
    </w:p>
    <w:p>
      <w:pPr>
        <w:pStyle w:val="null3"/>
        <w:ind w:firstLine="400"/>
      </w:pPr>
      <w:r>
        <w:rPr>
          <w:rFonts w:ascii="仿宋_GB2312" w:hAnsi="仿宋_GB2312" w:cs="仿宋_GB2312" w:eastAsia="仿宋_GB2312"/>
          <w:sz w:val="21"/>
        </w:rPr>
        <w:t>因此，轴承故障预测模拟实验平台是直面国家重大需求与世界科技前沿，破解高端装备可靠性瓶颈的关键一环，可以支撑我校高水平科研攻坚，强化学科交叉融合。是培养新时代卓越工程师的实践沃土，是提升学科核心竞争力、推动交叉创新的核心引擎。</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轴承故障预测模拟实验台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标的名称：轴承故障预测模拟实验台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pPr>
            <w:r>
              <w:rPr>
                <w:rFonts w:ascii="仿宋_GB2312" w:hAnsi="仿宋_GB2312" w:cs="仿宋_GB2312" w:eastAsia="仿宋_GB2312"/>
                <w:sz w:val="21"/>
              </w:rPr>
              <w:t>一、采购清单：</w:t>
            </w:r>
          </w:p>
          <w:tbl>
            <w:tblPr>
              <w:tblInd w:type="dxa" w:w="240"/>
              <w:tblBorders>
                <w:top w:val="none" w:color="000000" w:sz="4"/>
                <w:left w:val="none" w:color="000000" w:sz="4"/>
                <w:bottom w:val="none" w:color="000000" w:sz="4"/>
                <w:right w:val="none" w:color="000000" w:sz="4"/>
                <w:insideH w:val="none"/>
                <w:insideV w:val="none"/>
              </w:tblBorders>
            </w:tblPr>
            <w:tblGrid>
              <w:gridCol w:w="324"/>
              <w:gridCol w:w="789"/>
              <w:gridCol w:w="356"/>
              <w:gridCol w:w="693"/>
              <w:gridCol w:w="1018"/>
            </w:tblGrid>
            <w:tr>
              <w:tc>
                <w:tcPr>
                  <w:tcW w:type="dxa" w:w="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7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标的名称</w:t>
                  </w:r>
                </w:p>
              </w:tc>
              <w:tc>
                <w:tcPr>
                  <w:tcW w:type="dxa" w:w="3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6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计量单位</w:t>
                  </w:r>
                </w:p>
              </w:tc>
              <w:tc>
                <w:tcPr>
                  <w:tcW w:type="dxa" w:w="10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是否允许进口产品</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轴承故障预测模拟实验台</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二、技术标准/配置要求：轴承故障预测模拟实验台</w:t>
            </w:r>
          </w:p>
          <w:p>
            <w:pPr>
              <w:pStyle w:val="null3"/>
            </w:pPr>
            <w:r>
              <w:rPr>
                <w:rFonts w:ascii="仿宋_GB2312" w:hAnsi="仿宋_GB2312" w:cs="仿宋_GB2312" w:eastAsia="仿宋_GB2312"/>
                <w:sz w:val="21"/>
                <w:b/>
              </w:rPr>
              <w:t>主要功能：</w:t>
            </w:r>
          </w:p>
          <w:p>
            <w:pPr>
              <w:pStyle w:val="null3"/>
            </w:pPr>
            <w:r>
              <w:rPr>
                <w:rFonts w:ascii="仿宋_GB2312" w:hAnsi="仿宋_GB2312" w:cs="仿宋_GB2312" w:eastAsia="仿宋_GB2312"/>
                <w:sz w:val="21"/>
              </w:rPr>
              <w:t>1、实验台至少可对转速、轴承径向及轴向加载力通过触摸屏方便、快捷调整。</w:t>
            </w:r>
          </w:p>
          <w:p>
            <w:pPr>
              <w:pStyle w:val="null3"/>
            </w:pPr>
            <w:r>
              <w:rPr>
                <w:rFonts w:ascii="仿宋_GB2312" w:hAnsi="仿宋_GB2312" w:cs="仿宋_GB2312" w:eastAsia="仿宋_GB2312"/>
                <w:sz w:val="21"/>
              </w:rPr>
              <w:t>2、实验台至少可对电机电流、电机电压、转速、扭矩、径向及轴向加载力、温度进行反馈，并显示于触摸屏。</w:t>
            </w:r>
          </w:p>
          <w:p>
            <w:pPr>
              <w:pStyle w:val="null3"/>
            </w:pPr>
            <w:r>
              <w:rPr>
                <w:rFonts w:ascii="仿宋_GB2312" w:hAnsi="仿宋_GB2312" w:cs="仿宋_GB2312" w:eastAsia="仿宋_GB2312"/>
                <w:sz w:val="21"/>
              </w:rPr>
              <w:t>3、实验台能完成行星齿轮箱退化寿命实验</w:t>
            </w:r>
          </w:p>
          <w:p>
            <w:pPr>
              <w:pStyle w:val="null3"/>
            </w:pPr>
            <w:r>
              <w:rPr>
                <w:rFonts w:ascii="仿宋_GB2312" w:hAnsi="仿宋_GB2312" w:cs="仿宋_GB2312" w:eastAsia="仿宋_GB2312"/>
                <w:sz w:val="21"/>
              </w:rPr>
              <w:t>支持通过不同的组合模式,采用机械功率封闭形式、不损坏设备其它部件的情况下对被试行星齿轮箱完成退化寿命实验。</w:t>
            </w:r>
          </w:p>
          <w:p>
            <w:pPr>
              <w:pStyle w:val="null3"/>
            </w:pPr>
            <w:r>
              <w:rPr>
                <w:rFonts w:ascii="仿宋_GB2312" w:hAnsi="仿宋_GB2312" w:cs="仿宋_GB2312" w:eastAsia="仿宋_GB2312"/>
                <w:sz w:val="21"/>
                <w:b/>
                <w:color w:val="000000"/>
              </w:rPr>
              <w:t>★4、</w:t>
            </w:r>
            <w:r>
              <w:rPr>
                <w:rFonts w:ascii="仿宋_GB2312" w:hAnsi="仿宋_GB2312" w:cs="仿宋_GB2312" w:eastAsia="仿宋_GB2312"/>
                <w:sz w:val="21"/>
              </w:rPr>
              <w:t>行星齿轮箱齿轮故障实验</w:t>
            </w:r>
          </w:p>
          <w:p>
            <w:pPr>
              <w:pStyle w:val="null3"/>
            </w:pPr>
            <w:r>
              <w:rPr>
                <w:rFonts w:ascii="仿宋_GB2312" w:hAnsi="仿宋_GB2312" w:cs="仿宋_GB2312" w:eastAsia="仿宋_GB2312"/>
                <w:sz w:val="21"/>
              </w:rPr>
              <w:t>支持通过不同的组合模式更换相应故障件,不损坏设备其它部件的情况下完成被试行星齿轮箱的故障实验。至少配有以下数量故障件：行星齿轮×4件（点蚀、裂纹、磨损、断齿各1件）、太阳轮×2件（裂纹、磨损各1件）、齿圈×1件（断齿1件）（每件均带轴及两端轴承）</w:t>
            </w:r>
          </w:p>
          <w:p>
            <w:pPr>
              <w:pStyle w:val="null3"/>
            </w:pPr>
            <w:r>
              <w:rPr>
                <w:rFonts w:ascii="仿宋_GB2312" w:hAnsi="仿宋_GB2312" w:cs="仿宋_GB2312" w:eastAsia="仿宋_GB2312"/>
                <w:sz w:val="21"/>
                <w:b/>
                <w:color w:val="000000"/>
              </w:rPr>
              <w:t>★5、</w:t>
            </w:r>
            <w:r>
              <w:rPr>
                <w:rFonts w:ascii="仿宋_GB2312" w:hAnsi="仿宋_GB2312" w:cs="仿宋_GB2312" w:eastAsia="仿宋_GB2312"/>
                <w:sz w:val="21"/>
              </w:rPr>
              <w:t>平行轴齿轮箱退化寿命实验</w:t>
            </w:r>
          </w:p>
          <w:p>
            <w:pPr>
              <w:pStyle w:val="null3"/>
            </w:pPr>
            <w:r>
              <w:rPr>
                <w:rFonts w:ascii="仿宋_GB2312" w:hAnsi="仿宋_GB2312" w:cs="仿宋_GB2312" w:eastAsia="仿宋_GB2312"/>
                <w:sz w:val="21"/>
              </w:rPr>
              <w:t>支持通过不同的组合模式采用机械功率封闭的形式，不损坏设备其它部件的情况下对被试平行齿轮箱完成退化寿命实验。</w:t>
            </w:r>
          </w:p>
          <w:p>
            <w:pPr>
              <w:pStyle w:val="null3"/>
            </w:pPr>
            <w:r>
              <w:rPr>
                <w:rFonts w:ascii="仿宋_GB2312" w:hAnsi="仿宋_GB2312" w:cs="仿宋_GB2312" w:eastAsia="仿宋_GB2312"/>
                <w:sz w:val="21"/>
                <w:b/>
                <w:color w:val="000000"/>
              </w:rPr>
              <w:t>★6、</w:t>
            </w:r>
            <w:r>
              <w:rPr>
                <w:rFonts w:ascii="仿宋_GB2312" w:hAnsi="仿宋_GB2312" w:cs="仿宋_GB2312" w:eastAsia="仿宋_GB2312"/>
                <w:sz w:val="21"/>
              </w:rPr>
              <w:t>平行轴齿轮箱齿轮故障实验</w:t>
            </w:r>
          </w:p>
          <w:p>
            <w:pPr>
              <w:pStyle w:val="null3"/>
            </w:pPr>
            <w:r>
              <w:rPr>
                <w:rFonts w:ascii="仿宋_GB2312" w:hAnsi="仿宋_GB2312" w:cs="仿宋_GB2312" w:eastAsia="仿宋_GB2312"/>
                <w:sz w:val="21"/>
              </w:rPr>
              <w:t>支持通过不同的组合模式更换相应故障件,在不损坏设备其它部件的情况下完成被试平行齿轮箱的故障实验。至少配有以下数量故障件：高速端齿轮×4件（点蚀、裂纹、磨损、断齿各1件）、低速端齿轮×4件（点蚀、裂纹、磨损、断齿各1件）（每件均带轴及两端轴承）</w:t>
            </w:r>
          </w:p>
          <w:p>
            <w:pPr>
              <w:pStyle w:val="null3"/>
            </w:pPr>
            <w:r>
              <w:rPr>
                <w:rFonts w:ascii="仿宋_GB2312" w:hAnsi="仿宋_GB2312" w:cs="仿宋_GB2312" w:eastAsia="仿宋_GB2312"/>
                <w:sz w:val="21"/>
              </w:rPr>
              <w:t>7、滚动轴承寿命及故障模拟实验</w:t>
            </w:r>
          </w:p>
          <w:p>
            <w:pPr>
              <w:pStyle w:val="null3"/>
            </w:pPr>
            <w:r>
              <w:rPr>
                <w:rFonts w:ascii="仿宋_GB2312" w:hAnsi="仿宋_GB2312" w:cs="仿宋_GB2312" w:eastAsia="仿宋_GB2312"/>
                <w:sz w:val="21"/>
              </w:rPr>
              <w:t>支持设置加载力及实验转速、人为更换相应故障件、不损坏设备其它部件的情况下完成滚动轴承的寿命退化及故障实验。</w:t>
            </w:r>
          </w:p>
          <w:p>
            <w:pPr>
              <w:pStyle w:val="null3"/>
            </w:pPr>
            <w:r>
              <w:rPr>
                <w:rFonts w:ascii="仿宋_GB2312" w:hAnsi="仿宋_GB2312" w:cs="仿宋_GB2312" w:eastAsia="仿宋_GB2312"/>
                <w:sz w:val="21"/>
                <w:b/>
                <w:color w:val="000000"/>
              </w:rPr>
              <w:t>★</w:t>
            </w:r>
            <w:r>
              <w:rPr>
                <w:rFonts w:ascii="仿宋_GB2312" w:hAnsi="仿宋_GB2312" w:cs="仿宋_GB2312" w:eastAsia="仿宋_GB2312"/>
                <w:sz w:val="21"/>
              </w:rPr>
              <w:t>至少配有以下数量故障轴承件：内圈点蚀、内圈裂纹、外圈点蚀、外圈裂纹、保持架断裂、外圈点蚀+保持架断裂混合故障、外圈裂纹+保持架断裂混合故障、内圈点蚀+保持断裂混合故障、内圈裂纹+保持架断裂混合故障、内圈点蚀+外圈点蚀混合故障、内圈点蚀+外圈裂纹混合故障、内圈裂纹+外圈点蚀混合故障、内圈裂纹+外圈裂纹混合故障，各1件、共13件）</w:t>
            </w:r>
          </w:p>
          <w:p>
            <w:pPr>
              <w:pStyle w:val="null3"/>
            </w:pPr>
            <w:r>
              <w:rPr>
                <w:rFonts w:ascii="仿宋_GB2312" w:hAnsi="仿宋_GB2312" w:cs="仿宋_GB2312" w:eastAsia="仿宋_GB2312"/>
                <w:sz w:val="21"/>
              </w:rPr>
              <w:t>8、传感器数据采集测试以及设备故障诊断分析等。</w:t>
            </w:r>
          </w:p>
          <w:p>
            <w:pPr>
              <w:pStyle w:val="null3"/>
            </w:pPr>
            <w:r>
              <w:rPr>
                <w:rFonts w:ascii="仿宋_GB2312" w:hAnsi="仿宋_GB2312" w:cs="仿宋_GB2312" w:eastAsia="仿宋_GB2312"/>
                <w:sz w:val="21"/>
              </w:rPr>
              <w:t>支持在不同位置加装传感器，配套数据采集器及数据分析软件。软件提供数据实时采集分析、离线历史数据查询与分析、原始数据导出等功能；软件分析工具包至少提供时域图、频域图、轴心轨迹图、伯德图、瀑布图、极坐标图、功率谱等分析功能。</w:t>
            </w:r>
          </w:p>
          <w:p>
            <w:pPr>
              <w:pStyle w:val="null3"/>
            </w:pPr>
            <w:r>
              <w:rPr>
                <w:rFonts w:ascii="仿宋_GB2312" w:hAnsi="仿宋_GB2312" w:cs="仿宋_GB2312" w:eastAsia="仿宋_GB2312"/>
                <w:sz w:val="21"/>
                <w:b/>
              </w:rPr>
              <w:t>主要技术参数要求：</w:t>
            </w:r>
          </w:p>
          <w:p>
            <w:pPr>
              <w:pStyle w:val="null3"/>
            </w:pPr>
            <w:r>
              <w:rPr>
                <w:rFonts w:ascii="仿宋_GB2312" w:hAnsi="仿宋_GB2312" w:cs="仿宋_GB2312" w:eastAsia="仿宋_GB2312"/>
                <w:sz w:val="21"/>
              </w:rPr>
              <w:t>1、供电电源：三相380V±10%、50Hz、功率大于5kW，系统可封闭功率≥15kW；</w:t>
            </w:r>
          </w:p>
          <w:p>
            <w:pPr>
              <w:pStyle w:val="null3"/>
            </w:pPr>
            <w:r>
              <w:rPr>
                <w:rFonts w:ascii="仿宋_GB2312" w:hAnsi="仿宋_GB2312" w:cs="仿宋_GB2312" w:eastAsia="仿宋_GB2312"/>
                <w:sz w:val="21"/>
              </w:rPr>
              <w:t>2、平台底座：钢结构焊接平台表面要带油槽，尺寸约2700mm*1200mm*500mm；</w:t>
            </w:r>
          </w:p>
          <w:p>
            <w:pPr>
              <w:pStyle w:val="null3"/>
            </w:pPr>
            <w:r>
              <w:rPr>
                <w:rFonts w:ascii="仿宋_GB2312" w:hAnsi="仿宋_GB2312" w:cs="仿宋_GB2312" w:eastAsia="仿宋_GB2312"/>
                <w:sz w:val="21"/>
                <w:b/>
                <w:color w:val="000000"/>
              </w:rPr>
              <w:t>★</w:t>
            </w:r>
            <w:r>
              <w:rPr>
                <w:rFonts w:ascii="仿宋_GB2312" w:hAnsi="仿宋_GB2312" w:cs="仿宋_GB2312" w:eastAsia="仿宋_GB2312"/>
                <w:sz w:val="21"/>
              </w:rPr>
              <w:t>3、驱动电机：额定电压380V，额定功率≥3kW，额定转速≥3500rpm，额定扭矩≥5N.m；要求许用转速：500-3500rpm；</w:t>
            </w:r>
          </w:p>
          <w:p>
            <w:pPr>
              <w:pStyle w:val="null3"/>
            </w:pPr>
            <w:r>
              <w:rPr>
                <w:rFonts w:ascii="仿宋_GB2312" w:hAnsi="仿宋_GB2312" w:cs="仿宋_GB2312" w:eastAsia="仿宋_GB2312"/>
                <w:sz w:val="21"/>
              </w:rPr>
              <w:t>4、被试平行轴齿轮箱：要求直齿2级齿轮传动，模数≥2，总中心距≥200mm，总速比≥1.504，材质40Cr调质，额定输入功率≥3KW，包含齿轮故障件（配1套材质20CrMnTi渗碳淬火陪试齿轮）；</w:t>
            </w:r>
          </w:p>
          <w:p>
            <w:pPr>
              <w:pStyle w:val="null3"/>
            </w:pPr>
            <w:r>
              <w:rPr>
                <w:rFonts w:ascii="仿宋_GB2312" w:hAnsi="仿宋_GB2312" w:cs="仿宋_GB2312" w:eastAsia="仿宋_GB2312"/>
                <w:sz w:val="21"/>
              </w:rPr>
              <w:t>5、陪试平行轴齿轮箱：要求直齿2级齿轮传动，模数≥2，总中心距≥200mm，总速比≥1.504，材质20CrMnTi渗碳淬火，功率≥3kW；（另配1套材质20CrMnTi渗碳淬火陪试齿轮）；</w:t>
            </w:r>
          </w:p>
          <w:p>
            <w:pPr>
              <w:pStyle w:val="null3"/>
            </w:pPr>
            <w:r>
              <w:rPr>
                <w:rFonts w:ascii="仿宋_GB2312" w:hAnsi="仿宋_GB2312" w:cs="仿宋_GB2312" w:eastAsia="仿宋_GB2312"/>
                <w:sz w:val="21"/>
              </w:rPr>
              <w:t>6、被试行星齿轮箱：要求直齿传动，太阳轮齿数≥28，行星轮齿数≥28行星轮个数≥4，齿圈齿数≥84，模数≥0.8，速比≥4，最高输入转速≥3000r/min，额定输入功率≥3KW；（配1套材质20CrMnTi渗碳淬火陪试齿轮）；</w:t>
            </w:r>
          </w:p>
          <w:p>
            <w:pPr>
              <w:pStyle w:val="null3"/>
            </w:pPr>
            <w:r>
              <w:rPr>
                <w:rFonts w:ascii="仿宋_GB2312" w:hAnsi="仿宋_GB2312" w:cs="仿宋_GB2312" w:eastAsia="仿宋_GB2312"/>
                <w:sz w:val="21"/>
              </w:rPr>
              <w:t>7、陪试行星齿轮箱：要求直齿传动，太阳轮齿数≥28，行星轮齿数≥28行星轮个数≥4，齿圈齿数≥84，模数≥1.5，速比≥4，最高输入转速≥3000r/min；额定输入功率≥3KW。（另配1套材质20CrMnTi渗碳淬火陪试齿轮）；</w:t>
            </w:r>
          </w:p>
          <w:p>
            <w:pPr>
              <w:pStyle w:val="null3"/>
            </w:pPr>
            <w:r>
              <w:rPr>
                <w:rFonts w:ascii="仿宋_GB2312" w:hAnsi="仿宋_GB2312" w:cs="仿宋_GB2312" w:eastAsia="仿宋_GB2312"/>
                <w:sz w:val="21"/>
                <w:b/>
                <w:color w:val="000000"/>
              </w:rPr>
              <w:t>★</w:t>
            </w:r>
            <w:r>
              <w:rPr>
                <w:rFonts w:ascii="仿宋_GB2312" w:hAnsi="仿宋_GB2312" w:cs="仿宋_GB2312" w:eastAsia="仿宋_GB2312"/>
                <w:sz w:val="21"/>
              </w:rPr>
              <w:t>8、动态扭矩转速传感器：量程≥±100N.m，非线性≤0.1%FS，电源输入DC24V，扭矩输出≤±10VDC，转速输出≥60脉冲/转，额定转速≥10000rpm；</w:t>
            </w:r>
          </w:p>
          <w:p>
            <w:pPr>
              <w:pStyle w:val="null3"/>
            </w:pPr>
            <w:r>
              <w:rPr>
                <w:rFonts w:ascii="仿宋_GB2312" w:hAnsi="仿宋_GB2312" w:cs="仿宋_GB2312" w:eastAsia="仿宋_GB2312"/>
                <w:sz w:val="21"/>
              </w:rPr>
              <w:t>9、手动扭矩加载装置：要求最大加载扭矩≥75N.m，配有加载力臂、砝码及加载锁定辅助装置；</w:t>
            </w:r>
          </w:p>
          <w:p>
            <w:pPr>
              <w:pStyle w:val="null3"/>
            </w:pPr>
            <w:r>
              <w:rPr>
                <w:rFonts w:ascii="仿宋_GB2312" w:hAnsi="仿宋_GB2312" w:cs="仿宋_GB2312" w:eastAsia="仿宋_GB2312"/>
                <w:sz w:val="21"/>
              </w:rPr>
              <w:t>10、滚动轴承寿命预测系统：轴承型号：6205，要求伺服电缸加载装置：径向最大加载力≥2T、轴向≥1T，力传感器2个：量程≥2 T；轴承外圈测温传感器4个；带轴承润滑油站1套：润滑油站最大流量≥6L/min，最大压力≥0.4Mpa，包含陪试轴承；</w:t>
            </w:r>
          </w:p>
          <w:p>
            <w:pPr>
              <w:pStyle w:val="null3"/>
            </w:pPr>
            <w:r>
              <w:rPr>
                <w:rFonts w:ascii="仿宋_GB2312" w:hAnsi="仿宋_GB2312" w:cs="仿宋_GB2312" w:eastAsia="仿宋_GB2312"/>
                <w:sz w:val="21"/>
              </w:rPr>
              <w:t>11、电气控制系统：</w:t>
            </w:r>
          </w:p>
          <w:p>
            <w:pPr>
              <w:pStyle w:val="null3"/>
            </w:pPr>
            <w:r>
              <w:rPr>
                <w:rFonts w:ascii="仿宋_GB2312" w:hAnsi="仿宋_GB2312" w:cs="仿宋_GB2312" w:eastAsia="仿宋_GB2312"/>
                <w:sz w:val="21"/>
              </w:rPr>
              <w:t>1）</w:t>
            </w:r>
            <w:r>
              <w:rPr>
                <w:rFonts w:ascii="仿宋_GB2312" w:hAnsi="仿宋_GB2312" w:cs="仿宋_GB2312" w:eastAsia="仿宋_GB2312"/>
                <w:sz w:val="21"/>
                <w:color w:val="000000"/>
              </w:rPr>
              <w:t>可示化人机操作界面触摸屏</w:t>
            </w:r>
            <w:r>
              <w:rPr>
                <w:rFonts w:ascii="仿宋_GB2312" w:hAnsi="仿宋_GB2312" w:cs="仿宋_GB2312" w:eastAsia="仿宋_GB2312"/>
                <w:sz w:val="21"/>
              </w:rPr>
              <w:t>≥</w:t>
            </w:r>
            <w:r>
              <w:rPr>
                <w:rFonts w:ascii="仿宋_GB2312" w:hAnsi="仿宋_GB2312" w:cs="仿宋_GB2312" w:eastAsia="仿宋_GB2312"/>
                <w:sz w:val="21"/>
                <w:color w:val="000000"/>
              </w:rPr>
              <w:t>10寸</w:t>
            </w:r>
            <w:r>
              <w:rPr>
                <w:rFonts w:ascii="仿宋_GB2312" w:hAnsi="仿宋_GB2312" w:cs="仿宋_GB2312" w:eastAsia="仿宋_GB2312"/>
                <w:sz w:val="21"/>
              </w:rPr>
              <w:t>；</w:t>
            </w:r>
          </w:p>
          <w:p>
            <w:pPr>
              <w:pStyle w:val="null3"/>
            </w:pPr>
            <w:r>
              <w:rPr>
                <w:rFonts w:ascii="仿宋_GB2312" w:hAnsi="仿宋_GB2312" w:cs="仿宋_GB2312" w:eastAsia="仿宋_GB2312"/>
                <w:sz w:val="21"/>
                <w:color w:val="000000"/>
              </w:rPr>
              <w:t>2）实验台PLC智能启停的控制，转速控制，</w:t>
            </w:r>
            <w:r>
              <w:rPr>
                <w:rFonts w:ascii="仿宋_GB2312" w:hAnsi="仿宋_GB2312" w:cs="仿宋_GB2312" w:eastAsia="仿宋_GB2312"/>
                <w:sz w:val="21"/>
              </w:rPr>
              <w:t>人机界面通过以太网线连接PLC实现对系统实时控制，PLC通过485通讯、数字开关量、模拟量等控制驱动器等系统的智能控制；</w:t>
            </w:r>
          </w:p>
          <w:p>
            <w:pPr>
              <w:pStyle w:val="null3"/>
            </w:pPr>
            <w:r>
              <w:rPr>
                <w:rFonts w:ascii="仿宋_GB2312" w:hAnsi="仿宋_GB2312" w:cs="仿宋_GB2312" w:eastAsia="仿宋_GB2312"/>
                <w:sz w:val="21"/>
              </w:rPr>
              <w:t>3）系统集成以太网、Rs485等接口，支持Modbus-RTU、ModbusTCP等成熟通讯协议，支持与各种上位机进行通讯，</w:t>
            </w:r>
            <w:r>
              <w:rPr>
                <w:rFonts w:ascii="仿宋_GB2312" w:hAnsi="仿宋_GB2312" w:cs="仿宋_GB2312" w:eastAsia="仿宋_GB2312"/>
                <w:sz w:val="21"/>
                <w:color w:val="000000"/>
              </w:rPr>
              <w:t>可设置实验台运行时长；</w:t>
            </w:r>
          </w:p>
          <w:p>
            <w:pPr>
              <w:pStyle w:val="null3"/>
            </w:pPr>
            <w:r>
              <w:rPr>
                <w:rFonts w:ascii="仿宋_GB2312" w:hAnsi="仿宋_GB2312" w:cs="仿宋_GB2312" w:eastAsia="仿宋_GB2312"/>
                <w:sz w:val="21"/>
                <w:color w:val="000000"/>
              </w:rPr>
              <w:t>4）实验台配有振动速度传感器用于监测实验台振动值，当振动值超限设备会自动停机；</w:t>
            </w:r>
          </w:p>
          <w:p>
            <w:pPr>
              <w:pStyle w:val="null3"/>
            </w:pPr>
            <w:r>
              <w:rPr>
                <w:rFonts w:ascii="仿宋_GB2312" w:hAnsi="仿宋_GB2312" w:cs="仿宋_GB2312" w:eastAsia="仿宋_GB2312"/>
                <w:sz w:val="21"/>
                <w:color w:val="000000"/>
              </w:rPr>
              <w:t>5）触摸屏实时显示主驱动电机的电压、电流、转矩、转速、加载力、温度等参数；</w:t>
            </w:r>
          </w:p>
          <w:p>
            <w:pPr>
              <w:pStyle w:val="null3"/>
            </w:pPr>
            <w:r>
              <w:rPr>
                <w:rFonts w:ascii="仿宋_GB2312" w:hAnsi="仿宋_GB2312" w:cs="仿宋_GB2312" w:eastAsia="仿宋_GB2312"/>
                <w:sz w:val="21"/>
                <w:color w:val="000000"/>
              </w:rPr>
              <w:t>6）控制柜</w:t>
            </w:r>
            <w:r>
              <w:rPr>
                <w:rFonts w:ascii="仿宋_GB2312" w:hAnsi="仿宋_GB2312" w:cs="仿宋_GB2312" w:eastAsia="仿宋_GB2312"/>
                <w:sz w:val="21"/>
              </w:rPr>
              <w:t>尺寸约650mm*450mm*1000mm</w:t>
            </w:r>
            <w:r>
              <w:rPr>
                <w:rFonts w:ascii="仿宋_GB2312" w:hAnsi="仿宋_GB2312" w:cs="仿宋_GB2312" w:eastAsia="仿宋_GB2312"/>
                <w:sz w:val="21"/>
                <w:color w:val="000000"/>
              </w:rPr>
              <w:t>带底脚滚轮（带制动）。</w:t>
            </w:r>
          </w:p>
          <w:p>
            <w:pPr>
              <w:pStyle w:val="null3"/>
              <w:jc w:val="both"/>
            </w:pPr>
            <w:r>
              <w:rPr>
                <w:rFonts w:ascii="仿宋_GB2312" w:hAnsi="仿宋_GB2312" w:cs="仿宋_GB2312" w:eastAsia="仿宋_GB2312"/>
                <w:sz w:val="21"/>
              </w:rPr>
              <w:t>12、驱动器主要技术参数：</w:t>
            </w:r>
          </w:p>
          <w:p>
            <w:pPr>
              <w:pStyle w:val="null3"/>
              <w:jc w:val="both"/>
            </w:pPr>
            <w:r>
              <w:rPr>
                <w:rFonts w:ascii="仿宋_GB2312" w:hAnsi="仿宋_GB2312" w:cs="仿宋_GB2312" w:eastAsia="仿宋_GB2312"/>
                <w:sz w:val="21"/>
              </w:rPr>
              <w:t>1）输入电压可选单相200V或三相380V，50Hz/60Hz；</w:t>
            </w:r>
          </w:p>
          <w:p>
            <w:pPr>
              <w:pStyle w:val="null3"/>
              <w:jc w:val="both"/>
            </w:pPr>
            <w:r>
              <w:rPr>
                <w:rFonts w:ascii="仿宋_GB2312" w:hAnsi="仿宋_GB2312" w:cs="仿宋_GB2312" w:eastAsia="仿宋_GB2312"/>
                <w:sz w:val="21"/>
              </w:rPr>
              <w:t>2）具有无PG矢量控制和有PG矢量控制</w:t>
            </w:r>
          </w:p>
          <w:p>
            <w:pPr>
              <w:pStyle w:val="null3"/>
              <w:jc w:val="both"/>
            </w:pPr>
            <w:r>
              <w:rPr>
                <w:rFonts w:ascii="仿宋_GB2312" w:hAnsi="仿宋_GB2312" w:cs="仿宋_GB2312" w:eastAsia="仿宋_GB2312"/>
                <w:sz w:val="21"/>
              </w:rPr>
              <w:t>3）稳态转速精度：无PG矢量控制≤±0.5％，有PG矢量控制≤±0.1％；</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）过载能力：150％额定电流≥1min，180%额定电流≥15s，200%额定电流≥2s；</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）频率精度：模拟给定≤±0.2％最大频率，数字给定≤0.01Hz；</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）主要功能：支持开环/闭环控制，支持感应电机/永磁同步电机，可进行转速/转矩/位置控制，自动转矩提升，自动节能运行，自动电压调整（AVR），自动载波调整，随机PWM，过程PID，多模式PLC，多段速方式；</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）控制接口：具有模拟输入≥1，输出≥1，数字输入≥4，输出≥2；</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）通讯：内置RS485通讯接口，支持Modbus协议（RTU、TCP）、USS指令、Profibus-DP协议、PROFINET协议等；</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）可编程单元：比较器、逻辑单元、触发器、算术单元、滤波器、多路开关、定时器；</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）保护功能：过流、过压、欠压、输入输出缺相、输出短路、过热、电机过载、外部故障、模拟输入掉线、失速防止等；</w:t>
            </w:r>
          </w:p>
          <w:p>
            <w:pPr>
              <w:pStyle w:val="null3"/>
            </w:pPr>
            <w:r>
              <w:rPr>
                <w:rFonts w:ascii="仿宋_GB2312" w:hAnsi="仿宋_GB2312" w:cs="仿宋_GB2312" w:eastAsia="仿宋_GB2312"/>
                <w:sz w:val="21"/>
              </w:rPr>
              <w:t>13、防护系统：</w:t>
            </w:r>
            <w:r>
              <w:rPr>
                <w:rFonts w:ascii="仿宋_GB2312" w:hAnsi="仿宋_GB2312" w:cs="仿宋_GB2312" w:eastAsia="仿宋_GB2312"/>
                <w:sz w:val="21"/>
                <w:color w:val="000000"/>
              </w:rPr>
              <w:t>保护罩采用厚度</w:t>
            </w:r>
            <w:r>
              <w:rPr>
                <w:rFonts w:ascii="仿宋_GB2312" w:hAnsi="仿宋_GB2312" w:cs="仿宋_GB2312" w:eastAsia="仿宋_GB2312"/>
                <w:sz w:val="21"/>
              </w:rPr>
              <w:t>≥</w:t>
            </w:r>
            <w:r>
              <w:rPr>
                <w:rFonts w:ascii="仿宋_GB2312" w:hAnsi="仿宋_GB2312" w:cs="仿宋_GB2312" w:eastAsia="仿宋_GB2312"/>
                <w:sz w:val="21"/>
                <w:color w:val="000000"/>
              </w:rPr>
              <w:t>1.5mm钢板制作成型。</w:t>
            </w:r>
          </w:p>
          <w:p>
            <w:pPr>
              <w:pStyle w:val="null3"/>
            </w:pPr>
            <w:r>
              <w:rPr>
                <w:rFonts w:ascii="仿宋_GB2312" w:hAnsi="仿宋_GB2312" w:cs="仿宋_GB2312" w:eastAsia="仿宋_GB2312"/>
                <w:sz w:val="21"/>
                <w:b/>
                <w:color w:val="000000"/>
              </w:rPr>
              <w:t>★</w:t>
            </w:r>
            <w:r>
              <w:rPr>
                <w:rFonts w:ascii="仿宋_GB2312" w:hAnsi="仿宋_GB2312" w:cs="仿宋_GB2312" w:eastAsia="仿宋_GB2312"/>
                <w:sz w:val="21"/>
                <w:color w:val="000000"/>
              </w:rPr>
              <w:t>14、传感器数采测试系统</w:t>
            </w:r>
          </w:p>
          <w:p>
            <w:pPr>
              <w:pStyle w:val="null3"/>
            </w:pPr>
            <w:r>
              <w:rPr>
                <w:rFonts w:ascii="仿宋_GB2312" w:hAnsi="仿宋_GB2312" w:cs="仿宋_GB2312" w:eastAsia="仿宋_GB2312"/>
                <w:sz w:val="21"/>
                <w:color w:val="000000"/>
              </w:rPr>
              <w:t>（1）振动加速度传感器</w:t>
            </w:r>
            <w:r>
              <w:rPr>
                <w:rFonts w:ascii="仿宋_GB2312" w:hAnsi="仿宋_GB2312" w:cs="仿宋_GB2312" w:eastAsia="仿宋_GB2312"/>
                <w:sz w:val="21"/>
              </w:rPr>
              <w:t>数量6个</w:t>
            </w:r>
          </w:p>
          <w:p>
            <w:pPr>
              <w:pStyle w:val="null3"/>
              <w:numPr>
                <w:ilvl w:val="0"/>
                <w:numId w:val="2"/>
              </w:numPr>
              <w:jc w:val="left"/>
            </w:pPr>
            <w:r>
              <w:rPr>
                <w:rFonts w:ascii="仿宋_GB2312" w:hAnsi="仿宋_GB2312" w:cs="仿宋_GB2312" w:eastAsia="仿宋_GB2312"/>
                <w:sz w:val="21"/>
              </w:rPr>
              <w:t>三轴振动加速度传感器</w:t>
            </w:r>
          </w:p>
          <w:p>
            <w:pPr>
              <w:pStyle w:val="null3"/>
              <w:numPr>
                <w:ilvl w:val="0"/>
                <w:numId w:val="2"/>
              </w:numPr>
              <w:jc w:val="left"/>
            </w:pPr>
            <w:r>
              <w:rPr>
                <w:rFonts w:ascii="仿宋_GB2312" w:hAnsi="仿宋_GB2312" w:cs="仿宋_GB2312" w:eastAsia="仿宋_GB2312"/>
                <w:sz w:val="21"/>
              </w:rPr>
              <w:t>可同时测量三个方向振动加速度，灵敏度</w:t>
            </w:r>
            <w:r>
              <w:rPr>
                <w:rFonts w:ascii="仿宋_GB2312" w:hAnsi="仿宋_GB2312" w:cs="仿宋_GB2312" w:eastAsia="仿宋_GB2312"/>
                <w:sz w:val="21"/>
              </w:rPr>
              <w:t>≥</w:t>
            </w:r>
            <w:r>
              <w:rPr>
                <w:rFonts w:ascii="仿宋_GB2312" w:hAnsi="仿宋_GB2312" w:cs="仿宋_GB2312" w:eastAsia="仿宋_GB2312"/>
                <w:sz w:val="21"/>
              </w:rPr>
              <w:t>100mV/g（X、Y、Z）</w:t>
            </w:r>
          </w:p>
          <w:p>
            <w:pPr>
              <w:pStyle w:val="null3"/>
              <w:jc w:val="left"/>
            </w:pPr>
            <w:r>
              <w:rPr>
                <w:rFonts w:ascii="仿宋_GB2312" w:hAnsi="仿宋_GB2312" w:cs="仿宋_GB2312" w:eastAsia="仿宋_GB2312"/>
                <w:sz w:val="21"/>
              </w:rPr>
              <w:t>3）量程范围：</w:t>
            </w:r>
            <w:r>
              <w:rPr>
                <w:rFonts w:ascii="仿宋_GB2312" w:hAnsi="仿宋_GB2312" w:cs="仿宋_GB2312" w:eastAsia="仿宋_GB2312"/>
                <w:sz w:val="21"/>
              </w:rPr>
              <w:t>≥</w:t>
            </w:r>
            <w:r>
              <w:rPr>
                <w:rFonts w:ascii="仿宋_GB2312" w:hAnsi="仿宋_GB2312" w:cs="仿宋_GB2312" w:eastAsia="仿宋_GB2312"/>
                <w:sz w:val="21"/>
              </w:rPr>
              <w:t>±50g</w:t>
            </w:r>
          </w:p>
          <w:p>
            <w:pPr>
              <w:pStyle w:val="null3"/>
              <w:jc w:val="left"/>
            </w:pPr>
            <w:r>
              <w:rPr>
                <w:rFonts w:ascii="仿宋_GB2312" w:hAnsi="仿宋_GB2312" w:cs="仿宋_GB2312" w:eastAsia="仿宋_GB2312"/>
                <w:sz w:val="21"/>
              </w:rPr>
              <w:t>4）频率响应 (±1dB)：</w:t>
            </w:r>
            <w:r>
              <w:rPr>
                <w:rFonts w:ascii="仿宋_GB2312" w:hAnsi="仿宋_GB2312" w:cs="仿宋_GB2312" w:eastAsia="仿宋_GB2312"/>
                <w:sz w:val="21"/>
              </w:rPr>
              <w:t>至少覆盖</w:t>
            </w:r>
            <w:r>
              <w:rPr>
                <w:rFonts w:ascii="仿宋_GB2312" w:hAnsi="仿宋_GB2312" w:cs="仿宋_GB2312" w:eastAsia="仿宋_GB2312"/>
                <w:sz w:val="21"/>
              </w:rPr>
              <w:t>0.5Hz~5kHz</w:t>
            </w:r>
          </w:p>
          <w:p>
            <w:pPr>
              <w:pStyle w:val="null3"/>
              <w:jc w:val="left"/>
            </w:pPr>
            <w:r>
              <w:rPr>
                <w:rFonts w:ascii="仿宋_GB2312" w:hAnsi="仿宋_GB2312" w:cs="仿宋_GB2312" w:eastAsia="仿宋_GB2312"/>
                <w:sz w:val="21"/>
              </w:rPr>
              <w:t>5）恒流激励：</w:t>
            </w:r>
            <w:r>
              <w:rPr>
                <w:rFonts w:ascii="仿宋_GB2312" w:hAnsi="仿宋_GB2312" w:cs="仿宋_GB2312" w:eastAsia="仿宋_GB2312"/>
                <w:sz w:val="21"/>
              </w:rPr>
              <w:t>至少覆盖</w:t>
            </w:r>
            <w:r>
              <w:rPr>
                <w:rFonts w:ascii="仿宋_GB2312" w:hAnsi="仿宋_GB2312" w:cs="仿宋_GB2312" w:eastAsia="仿宋_GB2312"/>
                <w:sz w:val="21"/>
              </w:rPr>
              <w:t>2mA~10mA</w:t>
            </w:r>
          </w:p>
          <w:p>
            <w:pPr>
              <w:pStyle w:val="null3"/>
              <w:jc w:val="left"/>
            </w:pPr>
            <w:r>
              <w:rPr>
                <w:rFonts w:ascii="仿宋_GB2312" w:hAnsi="仿宋_GB2312" w:cs="仿宋_GB2312" w:eastAsia="仿宋_GB2312"/>
                <w:sz w:val="21"/>
              </w:rPr>
              <w:t>6）激励电压：</w:t>
            </w:r>
            <w:r>
              <w:rPr>
                <w:rFonts w:ascii="仿宋_GB2312" w:hAnsi="仿宋_GB2312" w:cs="仿宋_GB2312" w:eastAsia="仿宋_GB2312"/>
                <w:sz w:val="21"/>
              </w:rPr>
              <w:t>至少覆盖</w:t>
            </w:r>
            <w:r>
              <w:rPr>
                <w:rFonts w:ascii="仿宋_GB2312" w:hAnsi="仿宋_GB2312" w:cs="仿宋_GB2312" w:eastAsia="仿宋_GB2312"/>
                <w:sz w:val="21"/>
              </w:rPr>
              <w:t>18~25VDC</w:t>
            </w:r>
          </w:p>
          <w:p>
            <w:pPr>
              <w:pStyle w:val="null3"/>
              <w:jc w:val="left"/>
            </w:pPr>
            <w:r>
              <w:rPr>
                <w:rFonts w:ascii="仿宋_GB2312" w:hAnsi="仿宋_GB2312" w:cs="仿宋_GB2312" w:eastAsia="仿宋_GB2312"/>
                <w:sz w:val="21"/>
              </w:rPr>
              <w:t>7）输出偏置电压：11VDC±2VDC</w:t>
            </w:r>
          </w:p>
          <w:p>
            <w:pPr>
              <w:pStyle w:val="null3"/>
              <w:jc w:val="left"/>
            </w:pPr>
            <w:r>
              <w:rPr>
                <w:rFonts w:ascii="仿宋_GB2312" w:hAnsi="仿宋_GB2312" w:cs="仿宋_GB2312" w:eastAsia="仿宋_GB2312"/>
                <w:sz w:val="21"/>
              </w:rPr>
              <w:t>8）使用温度范围可满足：</w:t>
            </w:r>
            <w:r>
              <w:rPr>
                <w:rFonts w:ascii="仿宋_GB2312" w:hAnsi="仿宋_GB2312" w:cs="仿宋_GB2312" w:eastAsia="仿宋_GB2312"/>
                <w:sz w:val="21"/>
              </w:rPr>
              <w:t>至少覆盖</w:t>
            </w:r>
            <w:r>
              <w:rPr>
                <w:rFonts w:ascii="仿宋_GB2312" w:hAnsi="仿宋_GB2312" w:cs="仿宋_GB2312" w:eastAsia="仿宋_GB2312"/>
                <w:sz w:val="21"/>
              </w:rPr>
              <w:t>-40℃~+100℃。</w:t>
            </w:r>
          </w:p>
          <w:p>
            <w:pPr>
              <w:pStyle w:val="null3"/>
            </w:pPr>
            <w:r>
              <w:rPr>
                <w:rFonts w:ascii="仿宋_GB2312" w:hAnsi="仿宋_GB2312" w:cs="仿宋_GB2312" w:eastAsia="仿宋_GB2312"/>
                <w:sz w:val="21"/>
                <w:color w:val="000000"/>
              </w:rPr>
              <w:t>（2）数据采集器数量1台</w:t>
            </w:r>
          </w:p>
          <w:p>
            <w:pPr>
              <w:pStyle w:val="null3"/>
            </w:pPr>
            <w:r>
              <w:rPr>
                <w:rFonts w:ascii="仿宋_GB2312" w:hAnsi="仿宋_GB2312" w:cs="仿宋_GB2312" w:eastAsia="仿宋_GB2312"/>
                <w:sz w:val="21"/>
              </w:rPr>
              <w:t>1）通道数≥8通道，具有AI、DI输入通道，内置抗混叠滤波器；</w:t>
            </w:r>
          </w:p>
          <w:p>
            <w:pPr>
              <w:pStyle w:val="null3"/>
            </w:pPr>
            <w:r>
              <w:rPr>
                <w:rFonts w:ascii="仿宋_GB2312" w:hAnsi="仿宋_GB2312" w:cs="仿宋_GB2312" w:eastAsia="仿宋_GB2312"/>
                <w:sz w:val="21"/>
              </w:rPr>
              <w:t>2）设备电源220VAC/50Hz；</w:t>
            </w:r>
          </w:p>
          <w:p>
            <w:pPr>
              <w:pStyle w:val="null3"/>
            </w:pPr>
            <w:r>
              <w:rPr>
                <w:rFonts w:ascii="仿宋_GB2312" w:hAnsi="仿宋_GB2312" w:cs="仿宋_GB2312" w:eastAsia="仿宋_GB2312"/>
                <w:sz w:val="21"/>
              </w:rPr>
              <w:t>3）输入电压范围≥±10Vpp；</w:t>
            </w:r>
          </w:p>
          <w:p>
            <w:pPr>
              <w:pStyle w:val="null3"/>
            </w:pPr>
            <w:r>
              <w:rPr>
                <w:rFonts w:ascii="仿宋_GB2312" w:hAnsi="仿宋_GB2312" w:cs="仿宋_GB2312" w:eastAsia="仿宋_GB2312"/>
                <w:sz w:val="21"/>
              </w:rPr>
              <w:t>4）输入耦合方式为AC-DC；</w:t>
            </w:r>
          </w:p>
          <w:p>
            <w:pPr>
              <w:pStyle w:val="null3"/>
            </w:pPr>
            <w:r>
              <w:rPr>
                <w:rFonts w:ascii="仿宋_GB2312" w:hAnsi="仿宋_GB2312" w:cs="仿宋_GB2312" w:eastAsia="仿宋_GB2312"/>
                <w:sz w:val="21"/>
              </w:rPr>
              <w:t>5）设备采样精度≥24bit，可实现同步采样；</w:t>
            </w:r>
          </w:p>
          <w:p>
            <w:pPr>
              <w:pStyle w:val="null3"/>
            </w:pPr>
            <w:r>
              <w:rPr>
                <w:rFonts w:ascii="仿宋_GB2312" w:hAnsi="仿宋_GB2312" w:cs="仿宋_GB2312" w:eastAsia="仿宋_GB2312"/>
                <w:sz w:val="21"/>
              </w:rPr>
              <w:t>6）8通道同时采样时单通道的采样频率≥256kS/s，采样点数≥256k；</w:t>
            </w:r>
          </w:p>
          <w:p>
            <w:pPr>
              <w:pStyle w:val="null3"/>
            </w:pPr>
            <w:r>
              <w:rPr>
                <w:rFonts w:ascii="仿宋_GB2312" w:hAnsi="仿宋_GB2312" w:cs="仿宋_GB2312" w:eastAsia="仿宋_GB2312"/>
                <w:sz w:val="21"/>
              </w:rPr>
              <w:t>7）信号传输协议TCP/IP或RS485，总线连接方式以太网接口；</w:t>
            </w:r>
          </w:p>
          <w:p>
            <w:pPr>
              <w:pStyle w:val="null3"/>
            </w:pPr>
            <w:r>
              <w:rPr>
                <w:rFonts w:ascii="仿宋_GB2312" w:hAnsi="仿宋_GB2312" w:cs="仿宋_GB2312" w:eastAsia="仿宋_GB2312"/>
                <w:sz w:val="21"/>
              </w:rPr>
              <w:t>8）信噪比≥95dB；</w:t>
            </w:r>
          </w:p>
          <w:p>
            <w:pPr>
              <w:pStyle w:val="null3"/>
            </w:pPr>
            <w:r>
              <w:rPr>
                <w:rFonts w:ascii="仿宋_GB2312" w:hAnsi="仿宋_GB2312" w:cs="仿宋_GB2312" w:eastAsia="仿宋_GB2312"/>
                <w:sz w:val="21"/>
              </w:rPr>
              <w:t>9）可输入信号类型（电压/IEPE）如加速度、速度、位移、电压、电流、压力、温度、键相等信号类型。</w:t>
            </w:r>
          </w:p>
          <w:p>
            <w:pPr>
              <w:pStyle w:val="null3"/>
            </w:pPr>
            <w:r>
              <w:rPr>
                <w:rFonts w:ascii="仿宋_GB2312" w:hAnsi="仿宋_GB2312" w:cs="仿宋_GB2312" w:eastAsia="仿宋_GB2312"/>
                <w:sz w:val="21"/>
                <w:color w:val="000000"/>
              </w:rPr>
              <w:t>（3）声发射传感器</w:t>
            </w:r>
          </w:p>
          <w:p>
            <w:pPr>
              <w:pStyle w:val="null3"/>
            </w:pPr>
            <w:r>
              <w:rPr>
                <w:rFonts w:ascii="仿宋_GB2312" w:hAnsi="仿宋_GB2312" w:cs="仿宋_GB2312" w:eastAsia="仿宋_GB2312"/>
                <w:sz w:val="21"/>
                <w:color w:val="000000"/>
              </w:rPr>
              <w:t>1）谐振频率：</w:t>
            </w:r>
            <w:r>
              <w:rPr>
                <w:rFonts w:ascii="仿宋_GB2312" w:hAnsi="仿宋_GB2312" w:cs="仿宋_GB2312" w:eastAsia="仿宋_GB2312"/>
                <w:sz w:val="21"/>
              </w:rPr>
              <w:t>≥</w:t>
            </w:r>
            <w:r>
              <w:rPr>
                <w:rFonts w:ascii="仿宋_GB2312" w:hAnsi="仿宋_GB2312" w:cs="仿宋_GB2312" w:eastAsia="仿宋_GB2312"/>
                <w:sz w:val="21"/>
                <w:color w:val="000000"/>
              </w:rPr>
              <w:t>150 kHz，频率范围：至少覆盖60-400 kHz，</w:t>
            </w:r>
          </w:p>
          <w:p>
            <w:pPr>
              <w:pStyle w:val="null3"/>
            </w:pPr>
            <w:r>
              <w:rPr>
                <w:rFonts w:ascii="仿宋_GB2312" w:hAnsi="仿宋_GB2312" w:cs="仿宋_GB2312" w:eastAsia="仿宋_GB2312"/>
                <w:sz w:val="21"/>
                <w:color w:val="000000"/>
              </w:rPr>
              <w:t>2）灵敏度：</w:t>
            </w:r>
            <w:r>
              <w:rPr>
                <w:rFonts w:ascii="仿宋_GB2312" w:hAnsi="仿宋_GB2312" w:cs="仿宋_GB2312" w:eastAsia="仿宋_GB2312"/>
                <w:sz w:val="21"/>
              </w:rPr>
              <w:t>≥</w:t>
            </w:r>
            <w:r>
              <w:rPr>
                <w:rFonts w:ascii="仿宋_GB2312" w:hAnsi="仿宋_GB2312" w:cs="仿宋_GB2312" w:eastAsia="仿宋_GB2312"/>
                <w:sz w:val="21"/>
                <w:color w:val="000000"/>
              </w:rPr>
              <w:t>70dB；</w:t>
            </w:r>
          </w:p>
          <w:p>
            <w:pPr>
              <w:pStyle w:val="null3"/>
            </w:pPr>
            <w:r>
              <w:rPr>
                <w:rFonts w:ascii="仿宋_GB2312" w:hAnsi="仿宋_GB2312" w:cs="仿宋_GB2312" w:eastAsia="仿宋_GB2312"/>
                <w:sz w:val="21"/>
                <w:color w:val="000000"/>
              </w:rPr>
              <w:t>3）前置放大器</w:t>
            </w:r>
          </w:p>
          <w:p>
            <w:pPr>
              <w:pStyle w:val="null3"/>
            </w:pPr>
            <w:r>
              <w:rPr>
                <w:rFonts w:ascii="仿宋_GB2312" w:hAnsi="仿宋_GB2312" w:cs="仿宋_GB2312" w:eastAsia="仿宋_GB2312"/>
                <w:sz w:val="21"/>
                <w:color w:val="000000"/>
              </w:rPr>
              <w:t>增益：20/40/60 dB三档，任意可选；响应频率至少覆盖1.3kHz～1.2MHz；</w:t>
            </w:r>
          </w:p>
          <w:p>
            <w:pPr>
              <w:pStyle w:val="null3"/>
            </w:pPr>
            <w:r>
              <w:rPr>
                <w:rFonts w:ascii="仿宋_GB2312" w:hAnsi="仿宋_GB2312" w:cs="仿宋_GB2312" w:eastAsia="仿宋_GB2312"/>
                <w:sz w:val="21"/>
                <w:color w:val="000000"/>
              </w:rPr>
              <w:t>4）噪声：≤25dB（40dB 增益输入端短接）；</w:t>
            </w:r>
          </w:p>
          <w:p>
            <w:pPr>
              <w:pStyle w:val="null3"/>
            </w:pPr>
            <w:r>
              <w:rPr>
                <w:rFonts w:ascii="仿宋_GB2312" w:hAnsi="仿宋_GB2312" w:cs="仿宋_GB2312" w:eastAsia="仿宋_GB2312"/>
                <w:sz w:val="21"/>
                <w:color w:val="000000"/>
              </w:rPr>
              <w:t>5）内置滤波器：</w:t>
            </w:r>
          </w:p>
          <w:p>
            <w:pPr>
              <w:pStyle w:val="null3"/>
            </w:pPr>
            <w:r>
              <w:rPr>
                <w:rFonts w:ascii="仿宋_GB2312" w:hAnsi="仿宋_GB2312" w:cs="仿宋_GB2312" w:eastAsia="仿宋_GB2312"/>
                <w:sz w:val="21"/>
                <w:color w:val="000000"/>
              </w:rPr>
              <w:t>至少包含20kHz-1200kHz,（60dB 增益时20kHz-630kHz），100kHz-400kHz，20kHz-120kHz，1kHz-40kHz等四挡高性能带通滤波器，截止频率精度≥±1%；</w:t>
            </w:r>
          </w:p>
          <w:p>
            <w:pPr>
              <w:pStyle w:val="null3"/>
            </w:pPr>
            <w:r>
              <w:rPr>
                <w:rFonts w:ascii="仿宋_GB2312" w:hAnsi="仿宋_GB2312" w:cs="仿宋_GB2312" w:eastAsia="仿宋_GB2312"/>
                <w:sz w:val="21"/>
                <w:color w:val="000000"/>
              </w:rPr>
              <w:t>6）输出范围：≥±10V（Vpp），防护等级：IP65及以上；</w:t>
            </w:r>
          </w:p>
          <w:p>
            <w:pPr>
              <w:pStyle w:val="null3"/>
            </w:pPr>
            <w:r>
              <w:rPr>
                <w:rFonts w:ascii="仿宋_GB2312" w:hAnsi="仿宋_GB2312" w:cs="仿宋_GB2312" w:eastAsia="仿宋_GB2312"/>
                <w:sz w:val="21"/>
                <w:color w:val="000000"/>
              </w:rPr>
              <w:t>7）物理与接口特性：接口类型采用标准 BNC 接口</w:t>
            </w:r>
          </w:p>
          <w:p>
            <w:pPr>
              <w:pStyle w:val="null3"/>
            </w:pPr>
            <w:r>
              <w:rPr>
                <w:rFonts w:ascii="仿宋_GB2312" w:hAnsi="仿宋_GB2312" w:cs="仿宋_GB2312" w:eastAsia="仿宋_GB2312"/>
                <w:sz w:val="21"/>
                <w:b/>
                <w:color w:val="000000"/>
              </w:rPr>
              <w:t>注:带“★”的参数需求为实质性要求，供应商必须响应并满足的参数需求，并提供佐证材料（不限于第三方检测报告或官网截图或使用说明书或产品彩页或同类业绩等）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合同签订后45日历天内安装调试完成并保证可正常使用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西安邮电大学指定地点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合同签订后，供应商开具合同金额80%银行保函，采购人收到银行保函正本后（银行保函有效期：自开具之日起6个月）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货到安装调试完成后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待验收合格后，采购人退还银行保函正本。凭成交供应商开具全额增值税专用发票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到货验收由采购方组织实施。（2）验收分初次到货验收和学校最终验收两个阶段，以最终验收为准。货物到货后，甲、乙双方共同开箱验收,在检查货物原产地、型号、规格、配置符合合同要求后，由乙方负责安装调试、按照工作状态完成组装连接,甲方使用单位负责技术指标验收（乙方协助），所有软硬件货物满足技术参数要求，平台可正常开机运转，达到功能和性能要求。验收以国内行业标准或合同文本货物供货配置清单中描述的有关技术要求为准；（3）采购人使用单位初验合格后提出验收申请，学校相关部门根据使用单位技术验收结果，组织有关专家进行货物的最终验收；（4）验收依据：由采购人和供应商共同研究拟制合同验收测试大纲，作为项目验收的依据。采购人组织成立测试组，按照合同验收测试大纲组织硬件设备设施点验和功能测试。供应商配合采购人完成项目验收相关工作。在项目验收时，应向用户提供相应技术文档，相关技术文档包含但不限于以下内容（电子版1套，纸质版1套）：①使用维护手册；②检验合格证明；③磋商文件、响应文件、澄清表（函）；④本合同及附件文本；⑤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合同项目质保期为最终验收通过之日起3年；（2）提供软件系统免费售后技术服务；（3）用户提出服务请求后，能在4小时内做出有效响应，并在5个工作日内完成技术服务要求；（4）提供本次项目的技术咨询、技术支持等相关服务；（5）所提供的产品如有质量问题1年内免费更换，质保期内免费上门服务。超过质保期后，供应商负责对软件系统进行正常维护，包括当已有功能出现问题时进行及时补救，不包括软件模块功能调整完善或新建功能模块。所需费用参照设备单价及人工费酌情优惠收取。如72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3.5.1售后服务要求：（1）免费送货上门，免费按采购人要求安装调试，免费技术培训，直至操作人员熟练操作产品的各项功能；（2）免费保修期内接到报障电话在承诺时间内派工程技术人员上门维修解决问题，如果需要更换配件的，要求更换的配件应跟被更换的品牌、类型相一致或者是同类同档次的替代品，后者需征得用户方管理人员同意；（3）若产品自带软件的，则须提供免费保修期内免费升级服务；（4）供应商为用户提供至少一次免费设备移机服务。 3.5.2为顺利推进政府采购电子化交易平台应用工作，供应商需要在线提交所有通过电子化交易平台实施的政府采购项目的投标文件，同时，线下提交投标文件壹份，纸质投标文件建议A4纸双面打印，装订成册并编制目录和页码，密封并加盖公章。邮寄（仅接收顺丰快递，勿寄顺丰同城）或现场提交均可。若电子响应文件与纸质响应文件不一致的，以电子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交法定代表人/负责人身份证明书原件和身份证原件。法定代表人/负责人授权代表参加投标的，须出具法定代表人/负责人授权书原件及授权代表身份证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02月01日至响应文件递交截止日已缴存的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02月01日至响应文件递交截止日已缴存的任意一个月的纳税证明或完税证明，纳税证明或完税证明上应有代收机构或税务机关的公章，依法免税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案件当事人名单、政府采购严重违法失信行为记录名单的书面声明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本项目为专门面向中小企业采购项目，供应商应为中型企业或小型、微型企业或监狱企业或残疾人福利性单位。供应商需在项目电子化交易系统中按要求上传相应证明文件并进行电子签章。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响应文件封面 产品参数技术表.docx 相关方案.docx 附件（授权、书面声明、承诺等）.docx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响应文件的签字盖章是否按照谈判文件要求进行</w:t>
            </w:r>
          </w:p>
        </w:tc>
        <w:tc>
          <w:tcPr>
            <w:tcW w:type="dxa" w:w="1661"/>
          </w:tcPr>
          <w:p>
            <w:pPr>
              <w:pStyle w:val="null3"/>
            </w:pPr>
            <w:r>
              <w:rPr>
                <w:rFonts w:ascii="仿宋_GB2312" w:hAnsi="仿宋_GB2312" w:cs="仿宋_GB2312" w:eastAsia="仿宋_GB2312"/>
              </w:rPr>
              <w:t>响应文件封面 产品参数技术表.docx 相关方案.docx 附件（授权、书面声明、承诺等）.docx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投标有效期是否满足谈判最低要求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投标报价有效性</w:t>
            </w:r>
          </w:p>
        </w:tc>
        <w:tc>
          <w:tcPr>
            <w:tcW w:type="dxa" w:w="3322"/>
          </w:tcPr>
          <w:p>
            <w:pPr>
              <w:pStyle w:val="null3"/>
            </w:pPr>
            <w:r>
              <w:rPr>
                <w:rFonts w:ascii="仿宋_GB2312" w:hAnsi="仿宋_GB2312" w:cs="仿宋_GB2312" w:eastAsia="仿宋_GB2312"/>
              </w:rPr>
              <w:t>投标报价是否唯一有效或投标报价是否未超过采购预算</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商务、技术要求是否满足实质性要求</w:t>
            </w:r>
          </w:p>
        </w:tc>
        <w:tc>
          <w:tcPr>
            <w:tcW w:type="dxa" w:w="1661"/>
          </w:tcPr>
          <w:p>
            <w:pPr>
              <w:pStyle w:val="null3"/>
            </w:pPr>
            <w:r>
              <w:rPr>
                <w:rFonts w:ascii="仿宋_GB2312" w:hAnsi="仿宋_GB2312" w:cs="仿宋_GB2312" w:eastAsia="仿宋_GB2312"/>
              </w:rPr>
              <w:t>响应文件封面 产品参数技术表.docx 相关方案.docx 附件（授权、书面声明、承诺等）.docx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其他不符合法律、规章、规范性文件和规定的</w:t>
            </w:r>
          </w:p>
        </w:tc>
        <w:tc>
          <w:tcPr>
            <w:tcW w:type="dxa" w:w="1661"/>
          </w:tcPr>
          <w:p>
            <w:pPr>
              <w:pStyle w:val="null3"/>
            </w:pPr>
            <w:r>
              <w:rPr>
                <w:rFonts w:ascii="仿宋_GB2312" w:hAnsi="仿宋_GB2312" w:cs="仿宋_GB2312" w:eastAsia="仿宋_GB2312"/>
              </w:rPr>
              <w:t>响应文件封面 产品参数技术表.docx 相关方案.docx 附件（授权、书面声明、承诺等）.docx 中小企业声明函 残疾人福利性单位声明函 商务应答表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当出现响应报价相同时由采购人或者采购人委托谈判小组采取再次进行报价。</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详见附件：产品参数技术表.docx</w:t>
      </w:r>
    </w:p>
    <w:p>
      <w:pPr>
        <w:pStyle w:val="null3"/>
        <w:ind w:firstLine="960"/>
      </w:pPr>
      <w:r>
        <w:rPr>
          <w:rFonts w:ascii="仿宋_GB2312" w:hAnsi="仿宋_GB2312" w:cs="仿宋_GB2312" w:eastAsia="仿宋_GB2312"/>
        </w:rPr>
        <w:t>详见附件：相关方案.docx</w:t>
      </w:r>
    </w:p>
    <w:p>
      <w:pPr>
        <w:pStyle w:val="null3"/>
        <w:ind w:firstLine="960"/>
      </w:pPr>
      <w:r>
        <w:rPr>
          <w:rFonts w:ascii="仿宋_GB2312" w:hAnsi="仿宋_GB2312" w:cs="仿宋_GB2312" w:eastAsia="仿宋_GB2312"/>
        </w:rPr>
        <w:t>详见附件：附件（授权、书面声明、承诺等）.docx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详见附件：货物类合同模板.docx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