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80BBE">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24"/>
          <w:szCs w:val="24"/>
          <w:highlight w:val="none"/>
          <w:lang w:val="en-US" w:eastAsia="zh-CN"/>
        </w:rPr>
      </w:pPr>
    </w:p>
    <w:p w14:paraId="5A55A6F2">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24"/>
          <w:szCs w:val="24"/>
          <w:highlight w:val="none"/>
          <w:lang w:val="en-US" w:eastAsia="zh-CN"/>
        </w:rPr>
      </w:pPr>
    </w:p>
    <w:p w14:paraId="2EAF17A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24"/>
          <w:szCs w:val="24"/>
          <w:highlight w:val="none"/>
          <w:lang w:val="en-US" w:eastAsia="zh-CN"/>
        </w:rPr>
      </w:pPr>
    </w:p>
    <w:p w14:paraId="298A5D25">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24"/>
          <w:szCs w:val="24"/>
          <w:highlight w:val="none"/>
          <w:lang w:val="en-US" w:eastAsia="zh-CN"/>
        </w:rPr>
      </w:pPr>
    </w:p>
    <w:p w14:paraId="4623E508">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24"/>
          <w:szCs w:val="24"/>
          <w:highlight w:val="none"/>
          <w:lang w:val="en-US" w:eastAsia="zh-CN"/>
        </w:rPr>
      </w:pPr>
    </w:p>
    <w:p w14:paraId="2CF58436">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348B7EBA">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b/>
          <w:bCs/>
          <w:color w:val="auto"/>
          <w:sz w:val="40"/>
          <w:szCs w:val="40"/>
          <w:highlight w:val="none"/>
          <w:lang w:val="en-US" w:eastAsia="zh-CN"/>
        </w:rPr>
      </w:pPr>
      <w:r>
        <w:rPr>
          <w:rFonts w:hint="eastAsia" w:ascii="仿宋" w:hAnsi="仿宋" w:eastAsia="仿宋" w:cs="仿宋"/>
          <w:b/>
          <w:bCs/>
          <w:color w:val="auto"/>
          <w:sz w:val="40"/>
          <w:szCs w:val="40"/>
          <w:highlight w:val="none"/>
          <w:lang w:val="en-US" w:eastAsia="zh-CN"/>
        </w:rPr>
        <w:t xml:space="preserve"> 2026年陕西省文化和旅游厅境外社交媒体平台日韩语官方账号运营维护项目服务合同</w:t>
      </w:r>
    </w:p>
    <w:p w14:paraId="0E5F4D20">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76C69862">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33518319">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1A092886">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756F9DBD">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432979CA">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42C7A5CF">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5EA514A3">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left"/>
        <w:textAlignment w:val="auto"/>
        <w:rPr>
          <w:rFonts w:hint="eastAsia" w:ascii="仿宋" w:hAnsi="仿宋" w:eastAsia="仿宋" w:cs="仿宋"/>
          <w:color w:val="auto"/>
          <w:sz w:val="40"/>
          <w:szCs w:val="40"/>
          <w:highlight w:val="none"/>
          <w:lang w:val="en-US" w:eastAsia="zh-CN"/>
        </w:rPr>
      </w:pPr>
    </w:p>
    <w:p w14:paraId="6DF90D46">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color w:val="auto"/>
          <w:sz w:val="36"/>
          <w:szCs w:val="36"/>
          <w:highlight w:val="none"/>
          <w:lang w:val="en-US" w:eastAsia="zh-CN"/>
        </w:rPr>
      </w:pPr>
    </w:p>
    <w:p w14:paraId="3D8C0C88">
      <w:pPr>
        <w:keepNext w:val="0"/>
        <w:keepLines w:val="0"/>
        <w:pageBreakBefore w:val="0"/>
        <w:numPr>
          <w:ilvl w:val="0"/>
          <w:numId w:val="0"/>
        </w:numPr>
        <w:kinsoku/>
        <w:wordWrap/>
        <w:overflowPunct/>
        <w:autoSpaceDE/>
        <w:autoSpaceDN/>
        <w:bidi w:val="0"/>
        <w:adjustRightInd/>
        <w:snapToGrid/>
        <w:spacing w:line="360" w:lineRule="auto"/>
        <w:ind w:left="0" w:leftChars="0" w:right="0" w:rightChars="0" w:firstLine="1280" w:firstLineChars="4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甲方(采购人):</w:t>
      </w:r>
      <w:r>
        <w:rPr>
          <w:rFonts w:hint="eastAsia" w:ascii="仿宋" w:hAnsi="仿宋" w:eastAsia="仿宋" w:cs="仿宋"/>
          <w:color w:val="auto"/>
          <w:sz w:val="32"/>
          <w:szCs w:val="32"/>
          <w:highlight w:val="none"/>
          <w:u w:val="single"/>
          <w:lang w:val="en-US" w:eastAsia="zh-CN"/>
        </w:rPr>
        <w:t xml:space="preserve">           </w:t>
      </w:r>
    </w:p>
    <w:p w14:paraId="4567285F">
      <w:pPr>
        <w:keepNext w:val="0"/>
        <w:keepLines w:val="0"/>
        <w:pageBreakBefore w:val="0"/>
        <w:numPr>
          <w:ilvl w:val="0"/>
          <w:numId w:val="0"/>
        </w:numPr>
        <w:kinsoku/>
        <w:wordWrap/>
        <w:overflowPunct/>
        <w:autoSpaceDE/>
        <w:autoSpaceDN/>
        <w:bidi w:val="0"/>
        <w:adjustRightInd/>
        <w:snapToGrid/>
        <w:spacing w:line="360" w:lineRule="auto"/>
        <w:ind w:left="0" w:leftChars="0" w:right="0" w:rightChars="0" w:firstLine="1280" w:firstLineChars="4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乙方(供应商):</w:t>
      </w:r>
      <w:r>
        <w:rPr>
          <w:rFonts w:hint="eastAsia" w:ascii="仿宋" w:hAnsi="仿宋" w:eastAsia="仿宋" w:cs="仿宋"/>
          <w:color w:val="auto"/>
          <w:sz w:val="32"/>
          <w:szCs w:val="32"/>
          <w:highlight w:val="none"/>
          <w:u w:val="single"/>
          <w:lang w:val="en-US" w:eastAsia="zh-CN"/>
        </w:rPr>
        <w:t xml:space="preserve">           </w:t>
      </w:r>
    </w:p>
    <w:p w14:paraId="71971702">
      <w:pPr>
        <w:keepNext w:val="0"/>
        <w:keepLines w:val="0"/>
        <w:pageBreakBefore w:val="0"/>
        <w:numPr>
          <w:ilvl w:val="0"/>
          <w:numId w:val="0"/>
        </w:numPr>
        <w:kinsoku/>
        <w:wordWrap/>
        <w:overflowPunct/>
        <w:autoSpaceDE/>
        <w:autoSpaceDN/>
        <w:bidi w:val="0"/>
        <w:adjustRightInd/>
        <w:snapToGrid/>
        <w:spacing w:line="360" w:lineRule="auto"/>
        <w:ind w:left="0" w:leftChars="0" w:right="0" w:right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年  月   日</w:t>
      </w:r>
    </w:p>
    <w:p w14:paraId="43B7A046">
      <w:pPr>
        <w:keepNext w:val="0"/>
        <w:keepLines w:val="0"/>
        <w:pageBreakBefore w:val="0"/>
        <w:kinsoku/>
        <w:wordWrap/>
        <w:overflowPunct/>
        <w:autoSpaceDE/>
        <w:autoSpaceDN/>
        <w:bidi w:val="0"/>
        <w:adjustRightInd/>
        <w:snapToGrid/>
        <w:spacing w:line="360" w:lineRule="auto"/>
        <w:ind w:left="0" w:leftChars="0" w:right="0" w:rightChars="0"/>
        <w:textAlignment w:val="auto"/>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br w:type="page"/>
      </w:r>
    </w:p>
    <w:p w14:paraId="7D941881">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bCs/>
          <w:color w:val="auto"/>
          <w:sz w:val="24"/>
          <w:szCs w:val="24"/>
          <w:u w:val="single"/>
          <w:lang w:eastAsia="zh-CN"/>
        </w:rPr>
      </w:pPr>
      <w:r>
        <w:rPr>
          <w:rFonts w:hint="eastAsia" w:ascii="仿宋" w:hAnsi="仿宋" w:eastAsia="仿宋" w:cs="仿宋"/>
          <w:bCs/>
          <w:color w:val="auto"/>
          <w:sz w:val="24"/>
          <w:szCs w:val="24"/>
        </w:rPr>
        <w:t>甲方：陕西省文化和旅游厅</w:t>
      </w:r>
    </w:p>
    <w:p w14:paraId="5227FBB4">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bCs/>
          <w:color w:val="auto"/>
          <w:sz w:val="24"/>
          <w:szCs w:val="24"/>
          <w:u w:val="single"/>
          <w:lang w:val="en-US" w:eastAsia="zh-CN"/>
        </w:rPr>
      </w:pPr>
      <w:r>
        <w:rPr>
          <w:rFonts w:hint="eastAsia" w:ascii="仿宋" w:hAnsi="仿宋" w:eastAsia="仿宋" w:cs="仿宋"/>
          <w:bCs/>
          <w:color w:val="auto"/>
          <w:sz w:val="24"/>
          <w:szCs w:val="24"/>
        </w:rPr>
        <w:t>法定代表人：</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住所地：</w:t>
      </w:r>
      <w:r>
        <w:rPr>
          <w:rFonts w:hint="eastAsia" w:ascii="仿宋" w:hAnsi="仿宋" w:eastAsia="仿宋" w:cs="仿宋"/>
          <w:bCs/>
          <w:color w:val="auto"/>
          <w:sz w:val="24"/>
          <w:szCs w:val="24"/>
          <w:u w:val="single"/>
          <w:lang w:val="en-US" w:eastAsia="zh-CN"/>
        </w:rPr>
        <w:t xml:space="preserve">                  </w:t>
      </w:r>
    </w:p>
    <w:p w14:paraId="49115F2B">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乙方：</w:t>
      </w:r>
      <w:r>
        <w:rPr>
          <w:rFonts w:hint="eastAsia" w:ascii="仿宋" w:hAnsi="仿宋" w:eastAsia="仿宋" w:cs="仿宋"/>
          <w:bCs/>
          <w:color w:val="auto"/>
          <w:sz w:val="24"/>
          <w:szCs w:val="24"/>
          <w:u w:val="single"/>
        </w:rPr>
        <w:t xml:space="preserve">                      </w:t>
      </w:r>
    </w:p>
    <w:p w14:paraId="28FCFC58">
      <w:pPr>
        <w:keepNext w:val="0"/>
        <w:keepLines w:val="0"/>
        <w:pageBreakBefore w:val="0"/>
        <w:wordWrap/>
        <w:overflowPunct/>
        <w:topLinePunct w:val="0"/>
        <w:bidi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住所地：</w:t>
      </w:r>
    </w:p>
    <w:p w14:paraId="3BAE8674">
      <w:pPr>
        <w:keepNext w:val="0"/>
        <w:keepLines w:val="0"/>
        <w:pageBreakBefore w:val="0"/>
        <w:wordWrap/>
        <w:overflowPunct/>
        <w:topLinePunct w:val="0"/>
        <w:bidi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lang w:eastAsia="zh-CN"/>
        </w:rPr>
        <w:t>陕西省文化和旅游厅</w:t>
      </w:r>
      <w:r>
        <w:rPr>
          <w:rFonts w:hint="eastAsia" w:ascii="仿宋" w:hAnsi="仿宋" w:eastAsia="仿宋" w:cs="仿宋"/>
          <w:bCs/>
          <w:color w:val="auto"/>
          <w:sz w:val="24"/>
          <w:szCs w:val="24"/>
          <w:u w:val="single"/>
          <w:lang w:eastAsia="zh-CN"/>
        </w:rPr>
        <w:t>2026年陕西省文化和旅游厅境外社交媒体平台日韩语官方账号运营维护项目</w:t>
      </w:r>
      <w:r>
        <w:rPr>
          <w:rFonts w:hint="eastAsia" w:ascii="仿宋" w:hAnsi="仿宋" w:eastAsia="仿宋" w:cs="仿宋"/>
          <w:bCs/>
          <w:color w:val="auto"/>
          <w:sz w:val="24"/>
          <w:szCs w:val="24"/>
        </w:rPr>
        <w:t>，由</w:t>
      </w:r>
      <w:r>
        <w:rPr>
          <w:rFonts w:hint="eastAsia" w:ascii="仿宋" w:hAnsi="仿宋" w:eastAsia="仿宋" w:cs="仿宋"/>
          <w:bCs/>
          <w:color w:val="auto"/>
          <w:sz w:val="24"/>
          <w:szCs w:val="24"/>
          <w:u w:val="single"/>
          <w:lang w:eastAsia="zh-CN"/>
        </w:rPr>
        <w:t>华夏国际项目管理（西安）有限公司</w:t>
      </w:r>
      <w:r>
        <w:rPr>
          <w:rFonts w:hint="eastAsia" w:ascii="仿宋" w:hAnsi="仿宋" w:eastAsia="仿宋" w:cs="仿宋"/>
          <w:bCs/>
          <w:color w:val="auto"/>
          <w:sz w:val="24"/>
          <w:szCs w:val="24"/>
        </w:rPr>
        <w:t>组织</w:t>
      </w:r>
      <w:r>
        <w:rPr>
          <w:rFonts w:hint="eastAsia" w:ascii="仿宋" w:hAnsi="仿宋" w:eastAsia="仿宋" w:cs="仿宋"/>
          <w:bCs/>
          <w:color w:val="auto"/>
          <w:sz w:val="24"/>
          <w:szCs w:val="24"/>
          <w:u w:val="single"/>
          <w:lang w:val="en-US" w:eastAsia="zh-CN"/>
        </w:rPr>
        <w:t>竞争性磋商</w:t>
      </w:r>
      <w:r>
        <w:rPr>
          <w:rFonts w:hint="eastAsia" w:ascii="仿宋" w:hAnsi="仿宋" w:eastAsia="仿宋" w:cs="仿宋"/>
          <w:bCs/>
          <w:color w:val="auto"/>
          <w:sz w:val="24"/>
          <w:szCs w:val="24"/>
        </w:rPr>
        <w:t>，选定</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为成交单位。经</w:t>
      </w:r>
      <w:r>
        <w:rPr>
          <w:rFonts w:hint="eastAsia" w:ascii="仿宋" w:hAnsi="仿宋" w:eastAsia="仿宋" w:cs="仿宋"/>
          <w:bCs/>
          <w:color w:val="auto"/>
          <w:sz w:val="24"/>
          <w:szCs w:val="24"/>
          <w:lang w:eastAsia="zh-CN"/>
        </w:rPr>
        <w:t>陕西省文化和旅游厅</w:t>
      </w:r>
      <w:r>
        <w:rPr>
          <w:rFonts w:hint="eastAsia" w:ascii="仿宋" w:hAnsi="仿宋" w:eastAsia="仿宋" w:cs="仿宋"/>
          <w:bCs/>
          <w:color w:val="auto"/>
          <w:sz w:val="24"/>
          <w:szCs w:val="24"/>
        </w:rPr>
        <w:t>（以下简称甲方）与</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（以下简称乙方）共同协商，达成如下合同条款。</w:t>
      </w:r>
    </w:p>
    <w:p w14:paraId="4F34FF6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一、项目执行时间</w:t>
      </w:r>
    </w:p>
    <w:p w14:paraId="7FD3BD4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日起至</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6D52DE6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二 、项目服务内容</w:t>
      </w:r>
    </w:p>
    <w:p w14:paraId="1B8C6A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（一）数据调研</w:t>
      </w:r>
    </w:p>
    <w:p w14:paraId="696E25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进行各平台账号粉丝画像，调研粉丝的年龄、性别、内容喜好等。聚焦日韩两国民众，对其感兴趣的中国（陕西）文化和旅游内容摸底，并于一个月内完成调研报告提交采购人，以便后期有针对性创作内容，精准传播。调研报告包括账号运维期间的工作计划及方案。</w:t>
      </w:r>
    </w:p>
    <w:p w14:paraId="28C6378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（二）内容生产</w:t>
      </w:r>
    </w:p>
    <w:p w14:paraId="2D21ECA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eastAsia="zh-CN"/>
        </w:rPr>
        <w:t>内容创作要求：</w:t>
      </w:r>
    </w:p>
    <w:p w14:paraId="3EDF720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1.系统体现陕西文化和旅游资源特色，包括自然、历史、民俗、非遗、艺术、美食、节庆等各个方面。</w:t>
      </w:r>
    </w:p>
    <w:p w14:paraId="38BBC0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2.提供游客需要的实用性信息。</w:t>
      </w:r>
    </w:p>
    <w:p w14:paraId="4C16347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3.内容资料采集、撰写、拍摄、编辑等。</w:t>
      </w:r>
    </w:p>
    <w:p w14:paraId="6796EB0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4.内容符合目标市场特点，无版权问题。</w:t>
      </w:r>
    </w:p>
    <w:p w14:paraId="06B6908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每周将下周发布的帖文提交给采购人审核。</w:t>
      </w:r>
    </w:p>
    <w:p w14:paraId="5BE6EC2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eastAsia="zh-CN"/>
        </w:rPr>
        <w:t>粉丝及帖文</w:t>
      </w:r>
    </w:p>
    <w:p w14:paraId="6C98893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各项指标要求（KPI）见下表。其中，Instagram日韩语账号的IG story各不少于7条。</w:t>
      </w:r>
    </w:p>
    <w:tbl>
      <w:tblPr>
        <w:tblStyle w:val="8"/>
        <w:tblW w:w="4998" w:type="pct"/>
        <w:jc w:val="center"/>
        <w:tblLayout w:type="autofit"/>
        <w:tblCellMar>
          <w:top w:w="0" w:type="dxa"/>
          <w:left w:w="108" w:type="dxa"/>
          <w:bottom w:w="0" w:type="dxa"/>
          <w:right w:w="108" w:type="dxa"/>
        </w:tblCellMar>
      </w:tblPr>
      <w:tblGrid>
        <w:gridCol w:w="983"/>
        <w:gridCol w:w="1723"/>
        <w:gridCol w:w="1519"/>
        <w:gridCol w:w="1653"/>
        <w:gridCol w:w="1398"/>
        <w:gridCol w:w="1243"/>
      </w:tblGrid>
      <w:tr w14:paraId="2D418E10">
        <w:tblPrEx>
          <w:tblCellMar>
            <w:top w:w="0" w:type="dxa"/>
            <w:left w:w="108" w:type="dxa"/>
            <w:bottom w:w="0" w:type="dxa"/>
            <w:right w:w="108" w:type="dxa"/>
          </w:tblCellMar>
        </w:tblPrEx>
        <w:trPr>
          <w:trHeight w:val="262"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vAlign w:val="center"/>
          </w:tcPr>
          <w:p w14:paraId="250ADDA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bCs/>
                <w:color w:val="auto"/>
                <w:kern w:val="0"/>
                <w:sz w:val="21"/>
                <w:szCs w:val="21"/>
                <w:lang w:eastAsia="zh-CN"/>
              </w:rPr>
              <w:t>国别</w:t>
            </w:r>
          </w:p>
        </w:tc>
        <w:tc>
          <w:tcPr>
            <w:tcW w:w="1010" w:type="pct"/>
            <w:tcBorders>
              <w:top w:val="single" w:color="auto" w:sz="4" w:space="0"/>
              <w:left w:val="nil"/>
              <w:bottom w:val="single" w:color="auto" w:sz="4" w:space="0"/>
              <w:right w:val="single" w:color="auto" w:sz="4" w:space="0"/>
            </w:tcBorders>
            <w:shd w:val="clear" w:color="auto" w:fill="auto"/>
            <w:vAlign w:val="center"/>
          </w:tcPr>
          <w:p w14:paraId="10B80D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平台名称</w:t>
            </w:r>
          </w:p>
        </w:tc>
        <w:tc>
          <w:tcPr>
            <w:tcW w:w="891" w:type="pct"/>
            <w:tcBorders>
              <w:top w:val="single" w:color="auto" w:sz="4" w:space="0"/>
              <w:left w:val="nil"/>
              <w:bottom w:val="single" w:color="auto" w:sz="4" w:space="0"/>
              <w:right w:val="single" w:color="auto" w:sz="4" w:space="0"/>
            </w:tcBorders>
            <w:shd w:val="clear" w:color="auto" w:fill="auto"/>
            <w:vAlign w:val="center"/>
          </w:tcPr>
          <w:p w14:paraId="639CA4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新增粉丝量（万）</w:t>
            </w:r>
          </w:p>
        </w:tc>
        <w:tc>
          <w:tcPr>
            <w:tcW w:w="970" w:type="pct"/>
            <w:tcBorders>
              <w:top w:val="single" w:color="auto" w:sz="4" w:space="0"/>
              <w:left w:val="nil"/>
              <w:bottom w:val="single" w:color="auto" w:sz="4" w:space="0"/>
              <w:right w:val="single" w:color="auto" w:sz="4" w:space="0"/>
            </w:tcBorders>
            <w:shd w:val="clear" w:color="auto" w:fill="auto"/>
            <w:vAlign w:val="center"/>
          </w:tcPr>
          <w:p w14:paraId="2B0A810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bCs/>
                <w:color w:val="auto"/>
                <w:kern w:val="0"/>
                <w:sz w:val="21"/>
                <w:szCs w:val="21"/>
                <w:lang w:eastAsia="zh-CN"/>
              </w:rPr>
              <w:t>帖文</w:t>
            </w:r>
          </w:p>
          <w:p w14:paraId="7300371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lang w:eastAsia="zh-CN"/>
              </w:rPr>
              <w:t>数量</w:t>
            </w:r>
          </w:p>
          <w:p w14:paraId="49EEF9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lang w:eastAsia="zh-CN"/>
              </w:rPr>
              <w:t>（每天）</w:t>
            </w:r>
          </w:p>
        </w:tc>
        <w:tc>
          <w:tcPr>
            <w:tcW w:w="820" w:type="pct"/>
            <w:tcBorders>
              <w:top w:val="single" w:color="auto" w:sz="4" w:space="0"/>
              <w:left w:val="nil"/>
              <w:bottom w:val="single" w:color="auto" w:sz="4" w:space="0"/>
              <w:right w:val="single" w:color="auto" w:sz="4" w:space="0"/>
            </w:tcBorders>
            <w:shd w:val="clear" w:color="auto" w:fill="auto"/>
            <w:vAlign w:val="center"/>
          </w:tcPr>
          <w:p w14:paraId="2AFECB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bCs/>
                <w:color w:val="auto"/>
                <w:kern w:val="0"/>
                <w:sz w:val="21"/>
                <w:szCs w:val="21"/>
                <w:lang w:eastAsia="zh-CN"/>
              </w:rPr>
              <w:t>互动</w:t>
            </w:r>
          </w:p>
          <w:p w14:paraId="416A38A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bCs/>
                <w:color w:val="auto"/>
                <w:kern w:val="0"/>
                <w:sz w:val="21"/>
                <w:szCs w:val="21"/>
                <w:lang w:eastAsia="zh-CN"/>
              </w:rPr>
              <w:t>增长量（万）</w:t>
            </w:r>
          </w:p>
        </w:tc>
        <w:tc>
          <w:tcPr>
            <w:tcW w:w="729" w:type="pct"/>
            <w:tcBorders>
              <w:top w:val="single" w:color="auto" w:sz="4" w:space="0"/>
              <w:left w:val="nil"/>
              <w:bottom w:val="single" w:color="auto" w:sz="4" w:space="0"/>
              <w:right w:val="single" w:color="auto" w:sz="4" w:space="0"/>
            </w:tcBorders>
            <w:shd w:val="clear" w:color="auto" w:fill="auto"/>
            <w:vAlign w:val="center"/>
          </w:tcPr>
          <w:p w14:paraId="15E5FAD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bCs/>
                <w:color w:val="auto"/>
                <w:kern w:val="0"/>
                <w:sz w:val="21"/>
                <w:szCs w:val="21"/>
                <w:lang w:eastAsia="zh-CN"/>
              </w:rPr>
              <w:t>曝光量（万）</w:t>
            </w:r>
          </w:p>
        </w:tc>
      </w:tr>
      <w:tr w14:paraId="03BE3E1C">
        <w:tblPrEx>
          <w:tblCellMar>
            <w:top w:w="0" w:type="dxa"/>
            <w:left w:w="108" w:type="dxa"/>
            <w:bottom w:w="0" w:type="dxa"/>
            <w:right w:w="108" w:type="dxa"/>
          </w:tblCellMar>
        </w:tblPrEx>
        <w:trPr>
          <w:trHeight w:val="607" w:hRule="atLeast"/>
          <w:jc w:val="center"/>
        </w:trPr>
        <w:tc>
          <w:tcPr>
            <w:tcW w:w="5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3A02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日本</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14:paraId="4B27123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rPr>
              <w:t>Facebook</w:t>
            </w:r>
          </w:p>
        </w:tc>
        <w:tc>
          <w:tcPr>
            <w:tcW w:w="891" w:type="pct"/>
            <w:tcBorders>
              <w:top w:val="single" w:color="auto" w:sz="4" w:space="0"/>
              <w:left w:val="single" w:color="auto" w:sz="4" w:space="0"/>
              <w:bottom w:val="single" w:color="auto" w:sz="4" w:space="0"/>
              <w:right w:val="single" w:color="auto" w:sz="4" w:space="0"/>
            </w:tcBorders>
            <w:shd w:val="clear" w:color="auto" w:fill="auto"/>
            <w:vAlign w:val="center"/>
          </w:tcPr>
          <w:p w14:paraId="1CD22D1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9</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7C037A0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1条</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443AA87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9</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568D5CA3">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rPr>
              <w:t>≥</w:t>
            </w:r>
            <w:r>
              <w:rPr>
                <w:rFonts w:hint="eastAsia" w:ascii="仿宋" w:hAnsi="仿宋" w:eastAsia="仿宋" w:cs="仿宋"/>
                <w:bCs/>
                <w:color w:val="auto"/>
                <w:kern w:val="0"/>
                <w:sz w:val="21"/>
                <w:szCs w:val="21"/>
                <w:lang w:val="en-US" w:eastAsia="zh-CN"/>
              </w:rPr>
              <w:t>100</w:t>
            </w:r>
          </w:p>
        </w:tc>
      </w:tr>
      <w:tr w14:paraId="6C890C83">
        <w:tblPrEx>
          <w:tblCellMar>
            <w:top w:w="0" w:type="dxa"/>
            <w:left w:w="108" w:type="dxa"/>
            <w:bottom w:w="0" w:type="dxa"/>
            <w:right w:w="108" w:type="dxa"/>
          </w:tblCellMar>
        </w:tblPrEx>
        <w:trPr>
          <w:trHeight w:val="607" w:hRule="atLeast"/>
          <w:jc w:val="center"/>
        </w:trPr>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BF767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14:paraId="39F8B0B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color w:val="auto"/>
                <w:sz w:val="21"/>
                <w:szCs w:val="21"/>
                <w:lang w:val="en-US" w:eastAsia="zh-CN"/>
              </w:rPr>
              <w:t>X</w:t>
            </w:r>
          </w:p>
        </w:tc>
        <w:tc>
          <w:tcPr>
            <w:tcW w:w="891" w:type="pct"/>
            <w:tcBorders>
              <w:top w:val="single" w:color="auto" w:sz="4" w:space="0"/>
              <w:left w:val="single" w:color="auto" w:sz="4" w:space="0"/>
              <w:bottom w:val="single" w:color="auto" w:sz="4" w:space="0"/>
              <w:right w:val="single" w:color="auto" w:sz="4" w:space="0"/>
            </w:tcBorders>
            <w:shd w:val="clear" w:color="auto" w:fill="auto"/>
            <w:vAlign w:val="center"/>
          </w:tcPr>
          <w:p w14:paraId="7305BEB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0.2</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6AFBB53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2条</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051A111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0.2</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4B2657F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lang w:val="en-US" w:eastAsia="zh-CN"/>
              </w:rPr>
              <w:t>/</w:t>
            </w:r>
          </w:p>
        </w:tc>
      </w:tr>
      <w:tr w14:paraId="5720E579">
        <w:tblPrEx>
          <w:tblCellMar>
            <w:top w:w="0" w:type="dxa"/>
            <w:left w:w="108" w:type="dxa"/>
            <w:bottom w:w="0" w:type="dxa"/>
            <w:right w:w="108" w:type="dxa"/>
          </w:tblCellMar>
        </w:tblPrEx>
        <w:trPr>
          <w:trHeight w:val="607" w:hRule="atLeast"/>
          <w:jc w:val="center"/>
        </w:trPr>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D58B3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14:paraId="737AEFB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rPr>
              <w:t>Instagram</w:t>
            </w:r>
          </w:p>
        </w:tc>
        <w:tc>
          <w:tcPr>
            <w:tcW w:w="891" w:type="pct"/>
            <w:tcBorders>
              <w:top w:val="single" w:color="auto" w:sz="4" w:space="0"/>
              <w:left w:val="single" w:color="auto" w:sz="4" w:space="0"/>
              <w:bottom w:val="single" w:color="auto" w:sz="4" w:space="0"/>
              <w:right w:val="single" w:color="auto" w:sz="4" w:space="0"/>
            </w:tcBorders>
            <w:shd w:val="clear" w:color="auto" w:fill="auto"/>
            <w:vAlign w:val="center"/>
          </w:tcPr>
          <w:p w14:paraId="5844BC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3</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0B5F5465">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4幅</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0E8E9E3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087BEA1F">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lang w:val="en-US" w:eastAsia="zh-CN"/>
              </w:rPr>
              <w:t>/</w:t>
            </w:r>
          </w:p>
        </w:tc>
      </w:tr>
      <w:tr w14:paraId="5F86A846">
        <w:tblPrEx>
          <w:tblCellMar>
            <w:top w:w="0" w:type="dxa"/>
            <w:left w:w="108" w:type="dxa"/>
            <w:bottom w:w="0" w:type="dxa"/>
            <w:right w:w="108" w:type="dxa"/>
          </w:tblCellMar>
        </w:tblPrEx>
        <w:trPr>
          <w:trHeight w:val="567" w:hRule="atLeast"/>
          <w:jc w:val="center"/>
        </w:trPr>
        <w:tc>
          <w:tcPr>
            <w:tcW w:w="5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E82E4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韩国</w:t>
            </w: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14:paraId="3ED4D95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rPr>
              <w:t>Facebook</w:t>
            </w:r>
          </w:p>
        </w:tc>
        <w:tc>
          <w:tcPr>
            <w:tcW w:w="891" w:type="pct"/>
            <w:tcBorders>
              <w:top w:val="single" w:color="auto" w:sz="4" w:space="0"/>
              <w:left w:val="single" w:color="auto" w:sz="4" w:space="0"/>
              <w:bottom w:val="single" w:color="auto" w:sz="4" w:space="0"/>
              <w:right w:val="single" w:color="auto" w:sz="4" w:space="0"/>
            </w:tcBorders>
            <w:shd w:val="clear" w:color="auto" w:fill="auto"/>
            <w:vAlign w:val="center"/>
          </w:tcPr>
          <w:p w14:paraId="33D0BC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7</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42772395">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1条</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1B05BA7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7</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0454CAD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rPr>
              <w:t>≥</w:t>
            </w:r>
            <w:r>
              <w:rPr>
                <w:rFonts w:hint="eastAsia" w:ascii="仿宋" w:hAnsi="仿宋" w:eastAsia="仿宋" w:cs="仿宋"/>
                <w:bCs/>
                <w:color w:val="auto"/>
                <w:kern w:val="0"/>
                <w:sz w:val="21"/>
                <w:szCs w:val="21"/>
                <w:lang w:val="en-US" w:eastAsia="zh-CN"/>
              </w:rPr>
              <w:t>100</w:t>
            </w:r>
          </w:p>
        </w:tc>
      </w:tr>
      <w:tr w14:paraId="1ED022BB">
        <w:tblPrEx>
          <w:tblCellMar>
            <w:top w:w="0" w:type="dxa"/>
            <w:left w:w="108" w:type="dxa"/>
            <w:bottom w:w="0" w:type="dxa"/>
            <w:right w:w="108" w:type="dxa"/>
          </w:tblCellMar>
        </w:tblPrEx>
        <w:trPr>
          <w:trHeight w:val="567" w:hRule="atLeast"/>
          <w:jc w:val="center"/>
        </w:trPr>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1887E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kern w:val="0"/>
                <w:sz w:val="21"/>
                <w:szCs w:val="21"/>
              </w:rPr>
            </w:pPr>
          </w:p>
        </w:tc>
        <w:tc>
          <w:tcPr>
            <w:tcW w:w="1010" w:type="pct"/>
            <w:tcBorders>
              <w:top w:val="single" w:color="auto" w:sz="4" w:space="0"/>
              <w:left w:val="single" w:color="auto" w:sz="4" w:space="0"/>
              <w:bottom w:val="single" w:color="auto" w:sz="4" w:space="0"/>
              <w:right w:val="single" w:color="auto" w:sz="4" w:space="0"/>
            </w:tcBorders>
            <w:shd w:val="clear" w:color="auto" w:fill="auto"/>
            <w:vAlign w:val="center"/>
          </w:tcPr>
          <w:p w14:paraId="602F3E3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eastAsia="zh-CN"/>
              </w:rPr>
            </w:pPr>
            <w:r>
              <w:rPr>
                <w:rFonts w:hint="eastAsia" w:ascii="仿宋" w:hAnsi="仿宋" w:eastAsia="仿宋" w:cs="仿宋"/>
                <w:color w:val="auto"/>
                <w:sz w:val="21"/>
                <w:szCs w:val="21"/>
                <w:lang w:val="en-US" w:eastAsia="zh-CN"/>
              </w:rPr>
              <w:t>X</w:t>
            </w:r>
          </w:p>
        </w:tc>
        <w:tc>
          <w:tcPr>
            <w:tcW w:w="891" w:type="pct"/>
            <w:tcBorders>
              <w:top w:val="single" w:color="auto" w:sz="4" w:space="0"/>
              <w:left w:val="nil"/>
              <w:bottom w:val="single" w:color="auto" w:sz="4" w:space="0"/>
              <w:right w:val="single" w:color="auto" w:sz="4" w:space="0"/>
            </w:tcBorders>
            <w:shd w:val="clear" w:color="auto" w:fill="auto"/>
            <w:vAlign w:val="center"/>
          </w:tcPr>
          <w:p w14:paraId="2AE19B8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0.2</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0E83A4E1">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2条</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3523A4E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0.2</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7F689A17">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lang w:val="en-US" w:eastAsia="zh-CN"/>
              </w:rPr>
              <w:t>/</w:t>
            </w:r>
          </w:p>
        </w:tc>
      </w:tr>
      <w:tr w14:paraId="264A2D6C">
        <w:tblPrEx>
          <w:tblCellMar>
            <w:top w:w="0" w:type="dxa"/>
            <w:left w:w="108" w:type="dxa"/>
            <w:bottom w:w="0" w:type="dxa"/>
            <w:right w:w="108" w:type="dxa"/>
          </w:tblCellMar>
        </w:tblPrEx>
        <w:trPr>
          <w:trHeight w:val="567" w:hRule="atLeast"/>
          <w:jc w:val="center"/>
        </w:trPr>
        <w:tc>
          <w:tcPr>
            <w:tcW w:w="577"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39EE5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kern w:val="0"/>
                <w:sz w:val="21"/>
                <w:szCs w:val="21"/>
              </w:rPr>
            </w:pPr>
          </w:p>
        </w:tc>
        <w:tc>
          <w:tcPr>
            <w:tcW w:w="1010" w:type="pct"/>
            <w:tcBorders>
              <w:top w:val="nil"/>
              <w:left w:val="single" w:color="auto" w:sz="4" w:space="0"/>
              <w:bottom w:val="single" w:color="auto" w:sz="4" w:space="0"/>
              <w:right w:val="single" w:color="auto" w:sz="4" w:space="0"/>
            </w:tcBorders>
            <w:shd w:val="clear" w:color="auto" w:fill="auto"/>
            <w:vAlign w:val="center"/>
          </w:tcPr>
          <w:p w14:paraId="3DC85FC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rPr>
              <w:t>Instagram</w:t>
            </w:r>
          </w:p>
        </w:tc>
        <w:tc>
          <w:tcPr>
            <w:tcW w:w="891" w:type="pct"/>
            <w:tcBorders>
              <w:top w:val="nil"/>
              <w:left w:val="nil"/>
              <w:bottom w:val="single" w:color="auto" w:sz="4" w:space="0"/>
              <w:right w:val="single" w:color="auto" w:sz="4" w:space="0"/>
            </w:tcBorders>
            <w:shd w:val="clear" w:color="auto" w:fill="auto"/>
            <w:vAlign w:val="center"/>
          </w:tcPr>
          <w:p w14:paraId="5E061A7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3</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1F08185D">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4幅</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290E7B49">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711B75F4">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lang w:val="en-US" w:eastAsia="zh-CN"/>
              </w:rPr>
              <w:t>/</w:t>
            </w:r>
          </w:p>
        </w:tc>
      </w:tr>
      <w:tr w14:paraId="3AFD2D13">
        <w:tblPrEx>
          <w:tblCellMar>
            <w:top w:w="0" w:type="dxa"/>
            <w:left w:w="108" w:type="dxa"/>
            <w:bottom w:w="0" w:type="dxa"/>
            <w:right w:w="108" w:type="dxa"/>
          </w:tblCellMar>
        </w:tblPrEx>
        <w:trPr>
          <w:trHeight w:val="540" w:hRule="atLeast"/>
          <w:jc w:val="center"/>
        </w:trPr>
        <w:tc>
          <w:tcPr>
            <w:tcW w:w="1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1C9E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1"/>
                <w:szCs w:val="21"/>
              </w:rPr>
            </w:pPr>
            <w:r>
              <w:rPr>
                <w:rFonts w:hint="eastAsia" w:ascii="仿宋" w:hAnsi="仿宋" w:eastAsia="仿宋" w:cs="仿宋"/>
                <w:color w:val="auto"/>
                <w:kern w:val="0"/>
                <w:sz w:val="21"/>
                <w:szCs w:val="21"/>
                <w:lang w:eastAsia="zh-CN"/>
              </w:rPr>
              <w:t>合计</w:t>
            </w:r>
          </w:p>
        </w:tc>
        <w:tc>
          <w:tcPr>
            <w:tcW w:w="891" w:type="pct"/>
            <w:tcBorders>
              <w:top w:val="single" w:color="auto" w:sz="4" w:space="0"/>
              <w:left w:val="single" w:color="auto" w:sz="4" w:space="0"/>
              <w:bottom w:val="single" w:color="auto" w:sz="4" w:space="0"/>
              <w:right w:val="single" w:color="auto" w:sz="4" w:space="0"/>
            </w:tcBorders>
            <w:shd w:val="clear" w:color="auto" w:fill="auto"/>
            <w:vAlign w:val="center"/>
          </w:tcPr>
          <w:p w14:paraId="1E1CBE92">
            <w:pPr>
              <w:pStyle w:val="3"/>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22.4</w:t>
            </w:r>
          </w:p>
        </w:tc>
        <w:tc>
          <w:tcPr>
            <w:tcW w:w="970" w:type="pct"/>
            <w:tcBorders>
              <w:top w:val="single" w:color="auto" w:sz="4" w:space="0"/>
              <w:left w:val="single" w:color="auto" w:sz="4" w:space="0"/>
              <w:bottom w:val="single" w:color="auto" w:sz="4" w:space="0"/>
              <w:right w:val="single" w:color="auto" w:sz="4" w:space="0"/>
            </w:tcBorders>
            <w:shd w:val="clear" w:color="auto" w:fill="auto"/>
            <w:vAlign w:val="center"/>
          </w:tcPr>
          <w:p w14:paraId="6A716E68">
            <w:pPr>
              <w:pStyle w:val="3"/>
              <w:keepNext w:val="0"/>
              <w:keepLines w:val="0"/>
              <w:pageBreakBefore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14</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14:paraId="205BCEBE">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18.4</w:t>
            </w:r>
          </w:p>
        </w:tc>
        <w:tc>
          <w:tcPr>
            <w:tcW w:w="729" w:type="pct"/>
            <w:tcBorders>
              <w:top w:val="single" w:color="auto" w:sz="4" w:space="0"/>
              <w:left w:val="single" w:color="auto" w:sz="4" w:space="0"/>
              <w:bottom w:val="single" w:color="auto" w:sz="4" w:space="0"/>
              <w:right w:val="single" w:color="auto" w:sz="4" w:space="0"/>
            </w:tcBorders>
            <w:shd w:val="clear" w:color="auto" w:fill="auto"/>
            <w:vAlign w:val="center"/>
          </w:tcPr>
          <w:p w14:paraId="39986C0B">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color w:val="auto"/>
                <w:kern w:val="0"/>
                <w:sz w:val="21"/>
                <w:szCs w:val="21"/>
                <w:lang w:val="en-US" w:eastAsia="zh-CN"/>
              </w:rPr>
            </w:pPr>
            <w:r>
              <w:rPr>
                <w:rFonts w:hint="eastAsia" w:ascii="仿宋" w:hAnsi="仿宋" w:eastAsia="仿宋" w:cs="仿宋"/>
                <w:bCs/>
                <w:color w:val="auto"/>
                <w:kern w:val="0"/>
                <w:sz w:val="21"/>
                <w:szCs w:val="21"/>
              </w:rPr>
              <w:t>≥</w:t>
            </w:r>
            <w:r>
              <w:rPr>
                <w:rFonts w:hint="eastAsia" w:ascii="仿宋" w:hAnsi="仿宋" w:eastAsia="仿宋" w:cs="仿宋"/>
                <w:bCs/>
                <w:color w:val="auto"/>
                <w:kern w:val="0"/>
                <w:sz w:val="21"/>
                <w:szCs w:val="21"/>
                <w:lang w:val="en-US" w:eastAsia="zh-CN"/>
              </w:rPr>
              <w:t>200</w:t>
            </w:r>
          </w:p>
        </w:tc>
      </w:tr>
    </w:tbl>
    <w:p w14:paraId="6913B6C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eastAsia="zh-CN"/>
        </w:rPr>
        <w:t>页面设计更新</w:t>
      </w:r>
    </w:p>
    <w:p w14:paraId="6E3A4C4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每个平台至少</w:t>
      </w:r>
      <w:r>
        <w:rPr>
          <w:rFonts w:hint="eastAsia" w:ascii="仿宋" w:hAnsi="仿宋" w:eastAsia="仿宋" w:cs="仿宋"/>
          <w:b w:val="0"/>
          <w:bCs w:val="0"/>
          <w:color w:val="auto"/>
          <w:sz w:val="24"/>
          <w:szCs w:val="24"/>
          <w:highlight w:val="none"/>
          <w:lang w:val="en-US" w:eastAsia="zh-CN"/>
        </w:rPr>
        <w:t>4次</w:t>
      </w:r>
      <w:r>
        <w:rPr>
          <w:rFonts w:hint="eastAsia" w:ascii="仿宋" w:hAnsi="仿宋" w:eastAsia="仿宋" w:cs="仿宋"/>
          <w:b w:val="0"/>
          <w:bCs w:val="0"/>
          <w:color w:val="auto"/>
          <w:sz w:val="24"/>
          <w:szCs w:val="24"/>
          <w:highlight w:val="none"/>
          <w:lang w:eastAsia="zh-CN"/>
        </w:rPr>
        <w:t>页面设计更新（包括但不限于版式、封面等），配合季节、重点节庆调整封面设计。</w:t>
      </w:r>
    </w:p>
    <w:p w14:paraId="3FF10FC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（三）粉丝管理及业内互动</w:t>
      </w:r>
    </w:p>
    <w:p w14:paraId="60DAC12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1.管理并维护专页，每天及时回答贴文，回复率达到95%以上，内容诚恳客观，符合社会主义核心价值观。</w:t>
      </w:r>
    </w:p>
    <w:p w14:paraId="61D0FC0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2.各平台的互通互联、相互协作，与相关机构平台加强协作，建立友好关系。</w:t>
      </w:r>
    </w:p>
    <w:p w14:paraId="4AA29B1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（四）广告投放</w:t>
      </w:r>
    </w:p>
    <w:p w14:paraId="4E96B68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1.媒体稿件。配合线上线下活动和陕西省的大型宣传活动，进行日韩市场媒体稿件发布及广告投放、热点宣传等。主流媒体发布稿件不少于4篇（日韩各2篇），平均每篇不少于100家媒体转发。</w:t>
      </w:r>
    </w:p>
    <w:p w14:paraId="38B6C24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2.各平台的广告投放以增加IP在日本、韩国的粉丝为目的，广告费用以日韩市场为对象进行投放使用，需提供投放凭证，并评估投放效果。</w:t>
      </w:r>
    </w:p>
    <w:p w14:paraId="66AAC5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（五）线上线下活动</w:t>
      </w:r>
    </w:p>
    <w:p w14:paraId="51B9016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策划主题营销活动。依托社交媒体，在目标市场策划、举办大型营销活动。</w:t>
      </w:r>
    </w:p>
    <w:p w14:paraId="5428732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线上活动，全年策划28场线上活动（日韩各14场），以问答、游戏、赠送奖品等形式提高粉丝参与活动积极性。与景区、饭店、旅行社、文化和旅游演出公司、文创产品开发公司等企事业单位合作，鼓励线下企事业单位积极参与。</w:t>
      </w:r>
    </w:p>
    <w:p w14:paraId="2669038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线下活动，全年策划2场线下活动（日韩各1场），提前提交策划方案，方案包括时间、地点、人员邀请，详细流程，物料设计等。方案经采购人认可后方可具体实施。实施过程中需生成文字、图片、视频等素材，进行整理后在各个账号发布。同时通过国内外主流媒体进行二次传播报道。如因不可抗力或采购人认可的原因导致线下活动不能举办，则应置换为双方可接受的等值服务。</w:t>
      </w:r>
    </w:p>
    <w:p w14:paraId="5751B8A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（六）网络安全及突发事件处置</w:t>
      </w:r>
    </w:p>
    <w:p w14:paraId="482D63D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应配合采购人完成网络安全等级保护制度的落实。要确保项目涉及账户及资料的安全，并对造成采购人境外社交媒体产生负面影响的突发事件及时进行处理。包括并不限于以下情况：</w:t>
      </w:r>
    </w:p>
    <w:p w14:paraId="38387C3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1.重要资料的泄漏；</w:t>
      </w:r>
    </w:p>
    <w:p w14:paraId="229F229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2.黑客攻击或非法入侵事件、病毒安全紧急处置等；</w:t>
      </w:r>
    </w:p>
    <w:p w14:paraId="5E2B694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3.本项目重要信息基础建设及核心业务运作遭影响或系统停顿，无法于可容忍中断时间内恢复正常运作；</w:t>
      </w:r>
    </w:p>
    <w:p w14:paraId="016AE69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4.网站、网页出现不良、非法言论等；</w:t>
      </w:r>
    </w:p>
    <w:p w14:paraId="7C1D8E5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5.改动图文及版面、紧急发帖删贴、用户投诉、或资料遭窜改等；</w:t>
      </w:r>
    </w:p>
    <w:p w14:paraId="68ED75B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中标人在发现突发事件后应即时通报采购人，同时迅速采取处理措施，消除影响。若采购人认为有必要，双方共同协商处理。处理完成后中标人应向采购人及时书面通报。</w:t>
      </w:r>
    </w:p>
    <w:p w14:paraId="1DB0CE8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如果发生“封号”等重大恶性事件，直接扣款50%。</w:t>
      </w:r>
    </w:p>
    <w:p w14:paraId="380C9BE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（七）数据分析管理</w:t>
      </w:r>
    </w:p>
    <w:p w14:paraId="5AF5406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1.每月提供各项指标完成情况（以后台各项数据截图为准）。</w:t>
      </w:r>
    </w:p>
    <w:p w14:paraId="0D15070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2.每季度提供基本数据详细分析报表，包括分类分析及相关互动比率分析、粉丝增长数据分析、投放</w:t>
      </w:r>
      <w:bookmarkStart w:id="0" w:name="_GoBack"/>
      <w:bookmarkEnd w:id="0"/>
      <w:r>
        <w:rPr>
          <w:rFonts w:hint="eastAsia" w:ascii="仿宋" w:hAnsi="仿宋" w:eastAsia="仿宋" w:cs="仿宋"/>
          <w:b w:val="0"/>
          <w:bCs w:val="0"/>
          <w:color w:val="auto"/>
          <w:sz w:val="24"/>
          <w:szCs w:val="24"/>
          <w:highlight w:val="none"/>
          <w:lang w:eastAsia="zh-CN"/>
        </w:rPr>
        <w:t>市场分析、最受关注贴文及话题总结等。</w:t>
      </w:r>
    </w:p>
    <w:p w14:paraId="269FB90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3.根据采购人要求及时提供相应数据。</w:t>
      </w:r>
    </w:p>
    <w:p w14:paraId="7215191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4.总结问题并提出改进策略。</w:t>
      </w:r>
    </w:p>
    <w:p w14:paraId="29EBD63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（八）人员配备</w:t>
      </w:r>
    </w:p>
    <w:p w14:paraId="393A39E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为项目配备专职、稳定的团队保证工作顺利执行，需明确团队架构和工作人员职责。翻译人员必须持有日语或韩语的笔译证书（CATTI二级以上），保证帖文语言质量。</w:t>
      </w:r>
    </w:p>
    <w:p w14:paraId="0B7EFCB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（九）接入服务</w:t>
      </w:r>
    </w:p>
    <w:p w14:paraId="12BC611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中标单位须提供采购人能够24小时浏览官方账号必备的互联网接入服务及1套硬件设备。</w:t>
      </w:r>
    </w:p>
    <w:p w14:paraId="095D11A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（十）所有权</w:t>
      </w:r>
    </w:p>
    <w:p w14:paraId="5C13714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各平台涉及的账户、图文视频资料、应用程序、广告投放、活动设计方案等相关内容所有权归属采购人。服务期满前，需将相关资料提交采购人。</w:t>
      </w:r>
    </w:p>
    <w:p w14:paraId="2E50275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（十一）项目结案材料</w:t>
      </w:r>
    </w:p>
    <w:p w14:paraId="0B08C49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中标方应于项目完成之日起30日内向采购人递交项目结案材料。包括：</w:t>
      </w:r>
    </w:p>
    <w:p w14:paraId="38BBB1E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1.帖文分析、传播效果报告及广告播出报告；</w:t>
      </w:r>
    </w:p>
    <w:p w14:paraId="3F82D80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2.活动报告（参与活动人数人次、媒体稿件、现场图文资料、活动总结等）；</w:t>
      </w:r>
    </w:p>
    <w:p w14:paraId="348D643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3.提供年度执行总结报告，总结报告需按各阶段执行情况分别进行总结，并量化宣传效果；</w:t>
      </w:r>
    </w:p>
    <w:p w14:paraId="5363352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4.汇总整理项目涉及的各类图文视频、电子文本，并提交存有上述资料的移动存储设备。</w:t>
      </w:r>
    </w:p>
    <w:p w14:paraId="0E4DC5F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（十二）交接</w:t>
      </w:r>
    </w:p>
    <w:p w14:paraId="1BB00DA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项目执行期结束后，免费顺延基础维护服务不少于2个月，以确保在合同期满后至下一年度招标前账号安全。实际交接账号时各项KPI不低于结项报告数据，否则应以甲方同意的方式进行补偿。</w:t>
      </w:r>
    </w:p>
    <w:p w14:paraId="45176B8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（十三）该项目不允许转包分包。</w:t>
      </w:r>
    </w:p>
    <w:p w14:paraId="3DAB105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三、服务质量、服务标准</w:t>
      </w:r>
    </w:p>
    <w:p w14:paraId="4F1D2EC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质量要求以本合同为准。本合同未涉及的服务质量、标准，以双方共同签字盖章认可的方案为准。方案中未涉及的合同服务的质量、服务标准按招标文件要求执行，如在招标文件中无相应说明，则按国家有关部门颁布的最新的国家有关部门标准执行，没有国家有关部门标准的，按行业标准和采购人要求执行。验收工作按合同要求标准执行。</w:t>
      </w:r>
    </w:p>
    <w:p w14:paraId="1A52044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）投标人承诺具有履行本合同的授权、资质和能力，投标人的履约行为不违反国家的法律和强制性规定。</w:t>
      </w:r>
    </w:p>
    <w:p w14:paraId="32187E7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）投标人知悉采购人的官方性质及信誉、影响力等主体特点，应消除来自各方面对采购人的不良影响。</w:t>
      </w:r>
    </w:p>
    <w:p w14:paraId="45E4D23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在开展相关活动时造成安全事故、人身财产损失的，均由投标人承担相应责任与赔偿。由于投标人原因致使采购人卷入诉讼，采购人因诉讼产生的相关费用（包括但不限于赔偿金、诉讼费、律师代理费等）由投标人负担。</w:t>
      </w:r>
    </w:p>
    <w:p w14:paraId="1B6F705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eastAsia="zh-CN"/>
        </w:rPr>
        <w:t>）服务项目执行内容需要调整时，经采购人同意后，可以对相应的项目局部进行调整。</w:t>
      </w:r>
    </w:p>
    <w:p w14:paraId="6E10A90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四、知识产权</w:t>
      </w:r>
    </w:p>
    <w:p w14:paraId="5B0A942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4CDBB1F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陕西省文化与旅游厅日韩境外社交媒体Facebook、X、Instagram官方账户用户名、密码、用户个人资料数据库等与本合同相关的一切知识产权归采购人所有。投标人不得以其他任何方式侵犯采购人商业秘密。若投标人侵犯采购人的知识产权或商业秘密，则应赔偿给采购人造成的一切损失，并支付合同总价5％的违约金。</w:t>
      </w:r>
    </w:p>
    <w:p w14:paraId="03A6683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五、合同总价和支付方式</w:t>
      </w:r>
    </w:p>
    <w:p w14:paraId="07AC92B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1、合同总价</w:t>
      </w:r>
    </w:p>
    <w:p w14:paraId="4802E92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合同总价为人民币(大写)</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元整，即 RMB</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元。该合同总价是乙方在服务范图内提供服务所发生的所有费用(含税)。本合同执行期间合同总价不变。</w:t>
      </w:r>
    </w:p>
    <w:p w14:paraId="3C9B057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2、结算方式</w:t>
      </w:r>
    </w:p>
    <w:p w14:paraId="23150D5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双方约定，甲方就陕西文化和旅游境外社交媒体宣传推广项目，以下列明细向乙方支付合同费用：</w:t>
      </w:r>
    </w:p>
    <w:p w14:paraId="398220A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采购包1：付款条件说明：本合同签订后，成交单位应向采购人开具项目总金额40%的发票，达到付款条件起 30 日内，支付合同总金额的40.00%。</w:t>
      </w:r>
    </w:p>
    <w:p w14:paraId="528B009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采购包1：付款条件说明：各项指标完成100%，成交单位应向采购人开具项目总金额60％的发票，达到付款条件起30日内，支付合同总金额的60.00%。</w:t>
      </w:r>
    </w:p>
    <w:p w14:paraId="39AE6A2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甲方将依照合同规定，将经费打入乙方指定账户：</w:t>
      </w:r>
    </w:p>
    <w:p w14:paraId="5D3821E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账户名称：</w:t>
      </w:r>
    </w:p>
    <w:p w14:paraId="0F56717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1E6EC53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p w14:paraId="6037253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若以上账户信息变动，乙方应立即书面告知甲方，否则责任由乙方承担。</w:t>
      </w:r>
    </w:p>
    <w:p w14:paraId="0B506B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六、违约责任</w:t>
      </w:r>
    </w:p>
    <w:p w14:paraId="0403B9B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(一)甲方违约责任</w:t>
      </w:r>
    </w:p>
    <w:p w14:paraId="0D9D128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根据本合同规定，甲方按时向乙方支付应付服务费用。 甲方无故逾期3个月不支付服务款的，除应及时支付服务款外，每逾期1天，向乙方偿付本结算阶段欠款总额万分之一的违约金。</w:t>
      </w:r>
    </w:p>
    <w:p w14:paraId="27E6885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(二)乙方违约责任</w:t>
      </w:r>
    </w:p>
    <w:p w14:paraId="570A8A9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1、乙方所承诺的服务内容出现缺漏等情况的，按照漏 一补一的原则进行补充。如果在合同期结束或合同解除后3 月内无法补充，乙方应向甲方退还相应的款项，并向甲方支付未服务内容项对应总金额30%的违约金。</w:t>
      </w:r>
    </w:p>
    <w:p w14:paraId="53F7633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2、乙方不能交付或交付的服务不符合合同约定的，乙 方应向甲方支付合同总价的5%的违约金，甲方有权解除本合同并要求乙方退还已支付款项。</w:t>
      </w:r>
    </w:p>
    <w:p w14:paraId="42D5526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3、乙方逾期提供服务的，经书面警告后仍未得到改正，每逾期1天，应向甲方偿付逾期服务部分价款总额1%的违 约金。逾期提供服务超过15 天，甲方有权终止合同，并要求乙方退还已支付款项，并支付合同总价5%的违约金。</w:t>
      </w:r>
    </w:p>
    <w:p w14:paraId="2A3B96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七、不可抗力</w:t>
      </w:r>
    </w:p>
    <w:p w14:paraId="3AC442C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由于不可抗力造成本合同无法履行，甲乙双方均可免除责任；但在不可抗力事由消除后，经过双方协商确定解决方案。</w:t>
      </w:r>
    </w:p>
    <w:p w14:paraId="7E04561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八、争议解决</w:t>
      </w:r>
    </w:p>
    <w:p w14:paraId="4F9B77E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凡有关本合同或执行本合同中发生的争端，双方应通过友好协商妥善解决，如通过协商仍不能解决时，双方均可向甲方所在地人民法院诉讼解决。</w:t>
      </w:r>
    </w:p>
    <w:p w14:paraId="55610CA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九、其他</w:t>
      </w:r>
    </w:p>
    <w:p w14:paraId="79FF0FA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1、合同经双方法定代表人或授权代理人签字并加盖单位公章后生效。</w:t>
      </w:r>
    </w:p>
    <w:p w14:paraId="09179EF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2、本合同未约定或约定不详的，双方可以签订补充协 议。补充协议与本合同具有同等法律效力，补充协议与本合同发生冲突时，以补充协议为准。</w:t>
      </w:r>
    </w:p>
    <w:p w14:paraId="017B448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3、本合同一式陆份，甲方、乙方、采购代理机构各执 壹份，政府采购管理部门备案壹份，其余甲方存档，具有同等法律效力</w:t>
      </w:r>
    </w:p>
    <w:p w14:paraId="295E716D">
      <w:pPr>
        <w:pStyle w:val="3"/>
        <w:keepNext w:val="0"/>
        <w:keepLines w:val="0"/>
        <w:pageBreakBefore w:val="0"/>
        <w:wordWrap/>
        <w:overflowPunct/>
        <w:topLinePunct w:val="0"/>
        <w:bidi w:val="0"/>
        <w:spacing w:line="360" w:lineRule="auto"/>
        <w:rPr>
          <w:rFonts w:hint="eastAsia" w:ascii="仿宋" w:hAnsi="仿宋" w:eastAsia="仿宋" w:cs="仿宋"/>
          <w:color w:val="auto"/>
          <w:sz w:val="24"/>
          <w:szCs w:val="24"/>
          <w:highlight w:val="none"/>
        </w:rPr>
      </w:pPr>
    </w:p>
    <w:p w14:paraId="653AE7F5">
      <w:pPr>
        <w:pStyle w:val="4"/>
        <w:keepNext w:val="0"/>
        <w:keepLines w:val="0"/>
        <w:pageBreakBefore w:val="0"/>
        <w:wordWrap/>
        <w:overflowPunct/>
        <w:topLinePunct w:val="0"/>
        <w:bidi w:val="0"/>
        <w:spacing w:line="360" w:lineRule="auto"/>
        <w:rPr>
          <w:rFonts w:hint="eastAsia" w:ascii="仿宋" w:hAnsi="仿宋" w:eastAsia="仿宋" w:cs="仿宋"/>
          <w:color w:val="auto"/>
          <w:highlight w:val="none"/>
        </w:rPr>
      </w:pPr>
    </w:p>
    <w:p w14:paraId="1EF4EFCD">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0AF9A4A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(以下无正文；接合同签署页)</w:t>
      </w:r>
    </w:p>
    <w:p w14:paraId="52B0BC77">
      <w:pPr>
        <w:pStyle w:val="3"/>
        <w:keepNext w:val="0"/>
        <w:keepLines w:val="0"/>
        <w:pageBreakBefore w:val="0"/>
        <w:wordWrap/>
        <w:overflowPunct/>
        <w:topLinePunct w:val="0"/>
        <w:bidi w:val="0"/>
        <w:spacing w:line="360" w:lineRule="auto"/>
        <w:rPr>
          <w:rFonts w:hint="eastAsia" w:ascii="仿宋" w:hAnsi="仿宋" w:eastAsia="仿宋" w:cs="仿宋"/>
          <w:color w:val="auto"/>
          <w:sz w:val="24"/>
          <w:szCs w:val="24"/>
          <w:highlight w:val="none"/>
          <w:lang w:eastAsia="zh-CN"/>
        </w:rPr>
      </w:pPr>
    </w:p>
    <w:p w14:paraId="689924BB">
      <w:pPr>
        <w:pStyle w:val="4"/>
        <w:keepNext w:val="0"/>
        <w:keepLines w:val="0"/>
        <w:pageBreakBefore w:val="0"/>
        <w:wordWrap/>
        <w:overflowPunct/>
        <w:topLinePunct w:val="0"/>
        <w:bidi w:val="0"/>
        <w:spacing w:line="360" w:lineRule="auto"/>
        <w:rPr>
          <w:rFonts w:hint="eastAsia" w:ascii="仿宋" w:hAnsi="仿宋" w:eastAsia="仿宋" w:cs="仿宋"/>
          <w:color w:val="auto"/>
          <w:highlight w:val="none"/>
          <w:lang w:eastAsia="zh-CN"/>
        </w:rPr>
      </w:pPr>
    </w:p>
    <w:p w14:paraId="28E9B88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甲方(需方)：                             乙方(供方)： </w:t>
      </w:r>
    </w:p>
    <w:p w14:paraId="15BB773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项目负责人：                             法定代表人： </w:t>
      </w:r>
    </w:p>
    <w:p w14:paraId="43E55D6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授权代表：                               授权代表： </w:t>
      </w:r>
    </w:p>
    <w:p w14:paraId="48074F0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电话：                                   电话： </w:t>
      </w:r>
    </w:p>
    <w:p w14:paraId="700AF3F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传真：                                   传真： </w:t>
      </w:r>
    </w:p>
    <w:p w14:paraId="476842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开户银行：                               开户银行： </w:t>
      </w:r>
    </w:p>
    <w:p w14:paraId="7443A97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帐号：                                   帐号： </w:t>
      </w:r>
    </w:p>
    <w:p w14:paraId="6FF7967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邮政编码：                               邮政编码： </w:t>
      </w:r>
    </w:p>
    <w:p w14:paraId="6725211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签订地点：                               签订地点： </w:t>
      </w:r>
    </w:p>
    <w:p w14:paraId="6076A0CC">
      <w:pPr>
        <w:rPr>
          <w:color w:val="auto"/>
        </w:rPr>
      </w:pPr>
      <w:r>
        <w:rPr>
          <w:rFonts w:hint="eastAsia" w:ascii="仿宋" w:hAnsi="仿宋" w:eastAsia="仿宋" w:cs="仿宋"/>
          <w:snapToGrid w:val="0"/>
          <w:color w:val="auto"/>
          <w:kern w:val="0"/>
          <w:sz w:val="24"/>
          <w:szCs w:val="24"/>
          <w:highlight w:val="none"/>
          <w:lang w:val="en-US" w:eastAsia="zh-CN" w:bidi="ar"/>
        </w:rPr>
        <w:t>签约时间：     年 月 日                  签约时间：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F8448"/>
    <w:multiLevelType w:val="multilevel"/>
    <w:tmpl w:val="FFDF8448"/>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40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84550C"/>
    <w:rsid w:val="05D944A2"/>
    <w:rsid w:val="48AD0A60"/>
    <w:rsid w:val="5466208D"/>
    <w:rsid w:val="55845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utoSpaceDE w:val="0"/>
      <w:autoSpaceDN w:val="0"/>
      <w:adjustRightInd w:val="0"/>
      <w:spacing w:before="240" w:after="120" w:line="360" w:lineRule="auto"/>
      <w:jc w:val="center"/>
      <w:outlineLvl w:val="0"/>
    </w:pPr>
    <w:rPr>
      <w:rFonts w:ascii="宋体" w:hAnsi="宋体" w:cs="Times New Roman"/>
      <w:b/>
      <w:bCs/>
      <w:kern w:val="44"/>
      <w:sz w:val="32"/>
      <w:szCs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unhideWhenUsed/>
    <w:qFormat/>
    <w:uiPriority w:val="39"/>
  </w:style>
  <w:style w:type="paragraph" w:styleId="5">
    <w:name w:val="Body Text"/>
    <w:basedOn w:val="1"/>
    <w:qFormat/>
    <w:uiPriority w:val="0"/>
    <w:pPr>
      <w:spacing w:after="120" w:afterLines="0" w:afterAutospacing="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5"/>
    <w:qFormat/>
    <w:uiPriority w:val="0"/>
    <w:pPr>
      <w:ind w:firstLine="420" w:firstLineChars="10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3898</Words>
  <Characters>4053</Characters>
  <Lines>0</Lines>
  <Paragraphs>0</Paragraphs>
  <TotalTime>0</TotalTime>
  <ScaleCrop>false</ScaleCrop>
  <LinksUpToDate>false</LinksUpToDate>
  <CharactersWithSpaces>4569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2026-01-13T08:41:00Z</dcterms:created>
  <dc:creator>1</dc:creator>
  <cp:lastModifiedBy>1</cp:lastModifiedBy>
  <dcterms:modified xsi:type="dcterms:W3CDTF">2026-01-14T06:19:59Z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5B84EF0F98CE4BE2A311EEA68D072F7E_11</vt:lpwstr>
  </property>
  <property fmtid="{D5CDD505-2E9C-101B-9397-08002B2CF9AE}" pid="4" name="KSOTemplateDocerSaveRecord">
    <vt:lpwstr>eyJoZGlkIjoiYWRjNjA3YjNkZTkyNDk4OTI5YWU2YmU2MzVkMmI4MTAiLCJ1c2VySWQiOiI0ODU3MDc4MjgifQ==</vt:lpwstr>
  </property>
</Properties>
</file>