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版本号：HCKPZY-ZB-202601120260302003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2026年度境外重点展会承办单位采购项目（第三批）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HCKPZY-ZB-2026011</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2026年度境外重点展会承办单位采购项目（第三批）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2026年度境外重点展会承办单位采购项目（第三批）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2026年度境外重点展会承办单位采购项目（第三批）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9、本采购包非专门面向中小企业采购：本采购包非专门面向中小企业采购。</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说明：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9、本采购包专门面向中小企业采购：本采购包专门面向中小企业采购。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63913861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陕西省西安市南二环西段 58 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郭雄龙、张驰、李娜、张聪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029-85205306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采购包1：160,000.00元</w:t>
            </w:r>
          </w:p>
          <w:p>
            <w:pPr>
              <w:pStyle w:val="null3"/>
            </w:pPr>
            <w:r>
              <w:rPr>
                <w:rFonts w:ascii="仿宋_GB2312" w:hAnsi="仿宋_GB2312" w:cs="仿宋_GB2312" w:eastAsia="仿宋_GB2312"/>
              </w:rPr>
              <w:t>采购包2：180,000.00元</w:t>
            </w:r>
          </w:p>
          <w:p>
            <w:pPr>
              <w:pStyle w:val="null3"/>
            </w:pPr>
            <w:r>
              <w:rPr>
                <w:rFonts w:ascii="仿宋_GB2312" w:hAnsi="仿宋_GB2312" w:cs="仿宋_GB2312" w:eastAsia="仿宋_GB2312"/>
              </w:rPr>
              <w:t>采购包3：180,000.00元</w:t>
            </w:r>
          </w:p>
          <w:p>
            <w:pPr>
              <w:pStyle w:val="null3"/>
            </w:pPr>
            <w:r>
              <w:rPr>
                <w:rFonts w:ascii="仿宋_GB2312" w:hAnsi="仿宋_GB2312" w:cs="仿宋_GB2312" w:eastAsia="仿宋_GB2312"/>
              </w:rPr>
              <w:t>采购包4：160,000.00元</w:t>
            </w:r>
          </w:p>
          <w:p>
            <w:pPr>
              <w:pStyle w:val="null3"/>
            </w:pPr>
            <w:r>
              <w:rPr>
                <w:rFonts w:ascii="仿宋_GB2312" w:hAnsi="仿宋_GB2312" w:cs="仿宋_GB2312" w:eastAsia="仿宋_GB2312"/>
              </w:rPr>
              <w:t>采购包5：180,000.00元</w:t>
            </w:r>
          </w:p>
          <w:p>
            <w:pPr>
              <w:pStyle w:val="null3"/>
            </w:pPr>
            <w:r>
              <w:rPr>
                <w:rFonts w:ascii="仿宋_GB2312" w:hAnsi="仿宋_GB2312" w:cs="仿宋_GB2312" w:eastAsia="仿宋_GB2312"/>
              </w:rPr>
              <w:t>采购包6：180,000.00元</w:t>
            </w:r>
          </w:p>
          <w:p>
            <w:pPr>
              <w:pStyle w:val="null3"/>
            </w:pPr>
            <w:r>
              <w:rPr>
                <w:rFonts w:ascii="仿宋_GB2312" w:hAnsi="仿宋_GB2312" w:cs="仿宋_GB2312" w:eastAsia="仿宋_GB2312"/>
              </w:rPr>
              <w:t>采购包7：180,000.00元</w:t>
            </w:r>
          </w:p>
          <w:p>
            <w:pPr>
              <w:pStyle w:val="null3"/>
            </w:pPr>
            <w:r>
              <w:rPr>
                <w:rFonts w:ascii="仿宋_GB2312" w:hAnsi="仿宋_GB2312" w:cs="仿宋_GB2312" w:eastAsia="仿宋_GB2312"/>
              </w:rPr>
              <w:t>采购包8：180,000.00元</w:t>
            </w:r>
          </w:p>
          <w:p>
            <w:pPr>
              <w:pStyle w:val="null3"/>
            </w:pPr>
            <w:r>
              <w:rPr>
                <w:rFonts w:ascii="仿宋_GB2312" w:hAnsi="仿宋_GB2312" w:cs="仿宋_GB2312" w:eastAsia="仿宋_GB2312"/>
              </w:rPr>
              <w:t>采购包9：150,000.00元</w:t>
            </w:r>
          </w:p>
          <w:p>
            <w:pPr>
              <w:pStyle w:val="null3"/>
            </w:pPr>
            <w:r>
              <w:rPr>
                <w:rFonts w:ascii="仿宋_GB2312" w:hAnsi="仿宋_GB2312" w:cs="仿宋_GB2312" w:eastAsia="仿宋_GB2312"/>
              </w:rPr>
              <w:t>采购包10：180,000.00元</w:t>
            </w:r>
          </w:p>
          <w:p>
            <w:pPr>
              <w:pStyle w:val="null3"/>
            </w:pPr>
            <w:r>
              <w:rPr>
                <w:rFonts w:ascii="仿宋_GB2312" w:hAnsi="仿宋_GB2312" w:cs="仿宋_GB2312" w:eastAsia="仿宋_GB2312"/>
              </w:rPr>
              <w:t>采购包11：180,000.00元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代理服务费收费标准：招标代理服务费定额收费，按定额5000.00元/采购包收取。 成交单位的代理服务费交纳信息 银行户名：华春建设工程项目管理有限责任公司 开户银行：中国银行西安南二环支行 账号：102807336850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符合国家及行业现行质量标准要求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符合国家及行业现行质量标准要求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联系电话：029-85205306</w:t>
      </w:r>
    </w:p>
    <w:p>
      <w:pPr>
        <w:pStyle w:val="null3"/>
      </w:pPr>
      <w:r>
        <w:rPr>
          <w:rFonts w:ascii="仿宋_GB2312" w:hAnsi="仿宋_GB2312" w:cs="仿宋_GB2312" w:eastAsia="仿宋_GB2312"/>
        </w:rPr>
        <w:t>地址：西安市雁塔区南二环西段 58 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2026年度境外重点展会承办单位采购项目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欧洲精细化工展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世界氢能峰会暨展览会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尼日利亚国际石油天然气展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第14届亚洲国际医疗器械 医疗实验室仪器及设备展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马来西亚国际食品饮料展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越南国际制药原料及天然营养保健品原料展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越南食品饮料及加工展览会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2026年俄罗斯国际汽车及零配件展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亚洲国际水果蔬菜展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亚洲国际营养保健食品展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阿联酋阿布扎比国际石油展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标的名称：欧洲精细化工展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德国</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科隆</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欧洲精细化工展览会</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5月6日-7日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精细化工</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其中包含公共布展费</w:t>
                  </w:r>
                  <w:r>
                    <w:rPr>
                      <w:rFonts w:ascii="仿宋_GB2312" w:hAnsi="仿宋_GB2312" w:cs="仿宋_GB2312" w:eastAsia="仿宋_GB2312"/>
                      <w:sz w:val="24"/>
                      <w:color w:val="000000"/>
                    </w:rPr>
                    <w:t>6万元）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6</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ind w:firstLine="640"/>
              <w:jc w:val="both"/>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标的名称：世界氢能峰会暨展览会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荷兰</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鹿特丹</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世界氢能峰会暨展览会</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5月19日-21日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氢能</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18</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其中包含公共布展费</w:t>
                  </w:r>
                  <w:r>
                    <w:rPr>
                      <w:rFonts w:ascii="仿宋_GB2312" w:hAnsi="仿宋_GB2312" w:cs="仿宋_GB2312" w:eastAsia="仿宋_GB2312"/>
                      <w:sz w:val="24"/>
                      <w:color w:val="000000"/>
                    </w:rPr>
                    <w:t>8万元）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ind w:firstLine="640"/>
              <w:jc w:val="both"/>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标的名称：尼日利亚国际石油天然气展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尼日利亚</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阿布贾</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尼日利亚国际石油天然气展会</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7月5日-9日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石油天然气设备</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18</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其中包含公共布展费</w:t>
                  </w:r>
                  <w:r>
                    <w:rPr>
                      <w:rFonts w:ascii="仿宋_GB2312" w:hAnsi="仿宋_GB2312" w:cs="仿宋_GB2312" w:eastAsia="仿宋_GB2312"/>
                      <w:sz w:val="24"/>
                      <w:color w:val="000000"/>
                    </w:rPr>
                    <w:t>8万元）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ind w:firstLine="640"/>
              <w:jc w:val="both"/>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标的名称：第14届亚洲国际医疗器械 医疗实验室仪器及设备展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泰国</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曼谷</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第</w:t>
                  </w:r>
                  <w:r>
                    <w:rPr>
                      <w:rFonts w:ascii="仿宋_GB2312" w:hAnsi="仿宋_GB2312" w:cs="仿宋_GB2312" w:eastAsia="仿宋_GB2312"/>
                      <w:sz w:val="24"/>
                      <w:color w:val="000000"/>
                    </w:rPr>
                    <w:t>14届亚洲国际医疗器械、医疗实验室仪器及设备展</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7月8日-10日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医疗设备</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16（其中包含公共布展费8万元）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ind w:firstLine="640"/>
              <w:jc w:val="both"/>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p>
            <w:pPr>
              <w:pStyle w:val="null3"/>
              <w:ind w:firstLine="640"/>
              <w:jc w:val="both"/>
            </w:pP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标的名称：马来西亚国际食品饮料展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马来西亚</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吉隆坡</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马来西亚国际食品饮料展</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7月21日-23日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食品</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18（其中包含公共布展费10万元）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标的名称：越南国际制药原料及天然营养保健品原料展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越南</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胡志明市</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越南国际制药原料及天然营养保健品原料展</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7月30日-8月1日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植物提取物</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18（其中包含公共布展费10万元）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标的名称：越南食品饮料及加工展览会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越南</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胡志明市</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越南食品饮料及加工展览会</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8月6日-8日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植物提取物</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18（其中包含公共布展费10万元）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标的名称：2026年俄罗斯国际汽车及零配件展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俄罗斯</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圣彼得堡</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2026年俄罗斯国际汽车及零配件展</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8月25日-28日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汽车零部件</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18（其中包含公共布展费8万元）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标的名称：亚洲国际水果蔬菜展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中国</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香港</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亚洲国际水果蔬菜展</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9月2日-4日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果蔬</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15（其中包含公共布展费10万元）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5</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标的名称：亚洲国际营养保健食品展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泰国</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曼谷</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亚洲国际营养保健食品展</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9月2日-4日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植物提取物</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18（其中包含公共布展费10万元）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pPr>
            <w:r>
              <w:rPr>
                <w:rFonts w:ascii="仿宋_GB2312" w:hAnsi="仿宋_GB2312" w:cs="仿宋_GB2312" w:eastAsia="仿宋_GB2312"/>
                <w:sz w:val="24"/>
              </w:rPr>
              <w:t>三、 商务要求</w:t>
            </w:r>
            <w:r>
              <w:br/>
            </w:r>
            <w:r>
              <w:rPr>
                <w:rFonts w:ascii="仿宋_GB2312" w:hAnsi="仿宋_GB2312" w:cs="仿宋_GB2312" w:eastAsia="仿宋_GB2312"/>
                <w:sz w:val="24"/>
              </w:rPr>
              <w:t xml:space="preserve"> （一）服务期限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标的名称：阿联酋阿布扎比国际石油展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p>
          <w:tbl>
            <w:tblPr>
              <w:tblBorders>
                <w:top w:val="none" w:color="000000" w:sz="4"/>
                <w:left w:val="none" w:color="000000" w:sz="4"/>
                <w:bottom w:val="none" w:color="000000" w:sz="4"/>
                <w:right w:val="none" w:color="000000" w:sz="4"/>
                <w:insideH w:val="none"/>
                <w:insideV w:val="none"/>
              </w:tblBorders>
            </w:tblPr>
            <w:tblGrid>
              <w:gridCol w:w="477"/>
              <w:gridCol w:w="508"/>
              <w:gridCol w:w="798"/>
              <w:gridCol w:w="731"/>
              <w:gridCol w:w="571"/>
              <w:gridCol w:w="731"/>
            </w:tblGrid>
            <w:tr>
              <w:tc>
                <w:tcPr>
                  <w:tcW w:type="dxa" w:w="4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国别</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城市</w:t>
                  </w:r>
                </w:p>
              </w:tc>
              <w:tc>
                <w:tcPr>
                  <w:tcW w:type="dxa" w:w="7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展会名称</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展览</w:t>
                  </w:r>
                </w:p>
                <w:p>
                  <w:pPr>
                    <w:pStyle w:val="null3"/>
                    <w:spacing w:before="105" w:after="105"/>
                    <w:jc w:val="center"/>
                  </w:pPr>
                  <w:r>
                    <w:rPr>
                      <w:rFonts w:ascii="仿宋_GB2312" w:hAnsi="仿宋_GB2312" w:cs="仿宋_GB2312" w:eastAsia="仿宋_GB2312"/>
                      <w:sz w:val="24"/>
                    </w:rPr>
                    <w:t>日期</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展品</w:t>
                  </w:r>
                </w:p>
                <w:p>
                  <w:pPr>
                    <w:pStyle w:val="null3"/>
                    <w:spacing w:before="105" w:after="105"/>
                    <w:jc w:val="center"/>
                  </w:pPr>
                  <w:r>
                    <w:rPr>
                      <w:rFonts w:ascii="仿宋_GB2312" w:hAnsi="仿宋_GB2312" w:cs="仿宋_GB2312" w:eastAsia="仿宋_GB2312"/>
                      <w:sz w:val="24"/>
                    </w:rPr>
                    <w:t>范围</w:t>
                  </w:r>
                </w:p>
              </w:tc>
              <w:tc>
                <w:tcPr>
                  <w:tcW w:type="dxa" w:w="7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采购预算</w:t>
                  </w:r>
                </w:p>
                <w:p>
                  <w:pPr>
                    <w:pStyle w:val="null3"/>
                    <w:spacing w:before="105" w:after="105"/>
                    <w:jc w:val="center"/>
                  </w:pPr>
                  <w:r>
                    <w:rPr>
                      <w:rFonts w:ascii="仿宋_GB2312" w:hAnsi="仿宋_GB2312" w:cs="仿宋_GB2312" w:eastAsia="仿宋_GB2312"/>
                      <w:sz w:val="24"/>
                    </w:rPr>
                    <w:t>（万元）</w:t>
                  </w:r>
                </w:p>
              </w:tc>
            </w:tr>
            <w:tr>
              <w:tc>
                <w:tcPr>
                  <w:tcW w:type="dxa" w:w="4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阿联酋</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阿布扎比</w:t>
                  </w:r>
                </w:p>
              </w:tc>
              <w:tc>
                <w:tcPr>
                  <w:tcW w:type="dxa" w:w="7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阿联酋阿布扎比国际石油展</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11月2日-5日</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石油设备</w:t>
                  </w:r>
                </w:p>
              </w:tc>
              <w:tc>
                <w:tcPr>
                  <w:tcW w:type="dxa" w:w="7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color w:val="000000"/>
                    </w:rPr>
                    <w:t>18（其中包含公共布展费8万元）</w:t>
                  </w:r>
                </w:p>
              </w:tc>
            </w:tr>
          </w:tbl>
          <w:p>
            <w:pPr>
              <w:pStyle w:val="null3"/>
              <w:jc w:val="both"/>
            </w:pPr>
            <w:r>
              <w:rPr>
                <w:rFonts w:ascii="仿宋_GB2312" w:hAnsi="仿宋_GB2312" w:cs="仿宋_GB2312" w:eastAsia="仿宋_GB2312"/>
                <w:sz w:val="24"/>
                <w:b/>
                <w:u w:val="single"/>
              </w:rPr>
              <w:t>（说明：该项目具体行程以最终实际行程为准）</w:t>
            </w:r>
            <w:r>
              <w:rPr>
                <w:rFonts w:ascii="仿宋_GB2312" w:hAnsi="仿宋_GB2312" w:cs="仿宋_GB2312" w:eastAsia="仿宋_GB2312"/>
                <w:sz w:val="24"/>
                <w:u w:val="single"/>
              </w:rPr>
              <w:t xml:space="preserve"> </w:t>
            </w:r>
          </w:p>
          <w:p>
            <w:pPr>
              <w:pStyle w:val="null3"/>
              <w:ind w:firstLine="640"/>
              <w:jc w:val="both"/>
            </w:pPr>
            <w:r>
              <w:rPr>
                <w:rFonts w:ascii="仿宋_GB2312" w:hAnsi="仿宋_GB2312" w:cs="仿宋_GB2312" w:eastAsia="仿宋_GB2312"/>
                <w:sz w:val="24"/>
                <w:u w:val="single"/>
              </w:rPr>
              <w:t>二、服务要求</w:t>
            </w:r>
          </w:p>
          <w:p>
            <w:pPr>
              <w:pStyle w:val="null3"/>
              <w:ind w:firstLine="640"/>
              <w:jc w:val="both"/>
            </w:pPr>
            <w:r>
              <w:rPr>
                <w:rFonts w:ascii="仿宋_GB2312" w:hAnsi="仿宋_GB2312" w:cs="仿宋_GB2312" w:eastAsia="仿宋_GB2312"/>
                <w:sz w:val="24"/>
              </w:rPr>
              <w:t>1.负责与展会组织方或展会国内一级代理机构联系确定展会展位，并组织我省企业参加展会</w:t>
            </w:r>
            <w:r>
              <w:rPr>
                <w:rFonts w:ascii="仿宋_GB2312" w:hAnsi="仿宋_GB2312" w:cs="仿宋_GB2312" w:eastAsia="仿宋_GB2312"/>
                <w:sz w:val="24"/>
              </w:rPr>
              <w:t>。</w:t>
            </w:r>
            <w:r>
              <w:rPr>
                <w:rFonts w:ascii="仿宋_GB2312" w:hAnsi="仿宋_GB2312" w:cs="仿宋_GB2312" w:eastAsia="仿宋_GB2312"/>
                <w:sz w:val="24"/>
              </w:rPr>
              <w:t>其中组织企业数不少于</w:t>
            </w:r>
            <w:r>
              <w:rPr>
                <w:rFonts w:ascii="仿宋_GB2312" w:hAnsi="仿宋_GB2312" w:cs="仿宋_GB2312" w:eastAsia="仿宋_GB2312"/>
                <w:sz w:val="24"/>
              </w:rPr>
              <w:t>10家</w:t>
            </w:r>
            <w:r>
              <w:rPr>
                <w:rFonts w:ascii="仿宋_GB2312" w:hAnsi="仿宋_GB2312" w:cs="仿宋_GB2312" w:eastAsia="仿宋_GB2312"/>
                <w:sz w:val="24"/>
              </w:rPr>
              <w:t>（以实际企业法人予以认定，少于</w:t>
            </w:r>
            <w:r>
              <w:rPr>
                <w:rFonts w:ascii="仿宋_GB2312" w:hAnsi="仿宋_GB2312" w:cs="仿宋_GB2312" w:eastAsia="仿宋_GB2312"/>
                <w:sz w:val="24"/>
              </w:rPr>
              <w:t>10家</w:t>
            </w:r>
            <w:r>
              <w:rPr>
                <w:rFonts w:ascii="仿宋_GB2312" w:hAnsi="仿宋_GB2312" w:cs="仿宋_GB2312" w:eastAsia="仿宋_GB2312"/>
                <w:sz w:val="24"/>
              </w:rPr>
              <w:t>不予支持）</w:t>
            </w:r>
            <w:r>
              <w:rPr>
                <w:rFonts w:ascii="仿宋_GB2312" w:hAnsi="仿宋_GB2312" w:cs="仿宋_GB2312" w:eastAsia="仿宋_GB2312"/>
                <w:sz w:val="24"/>
              </w:rPr>
              <w:t>；</w:t>
            </w:r>
            <w:r>
              <w:rPr>
                <w:rFonts w:ascii="仿宋_GB2312" w:hAnsi="仿宋_GB2312" w:cs="仿宋_GB2312" w:eastAsia="仿宋_GB2312"/>
                <w:sz w:val="24"/>
              </w:rPr>
              <w:t>每家企业补贴</w:t>
            </w:r>
            <w:r>
              <w:rPr>
                <w:rFonts w:ascii="仿宋_GB2312" w:hAnsi="仿宋_GB2312" w:cs="仿宋_GB2312" w:eastAsia="仿宋_GB2312"/>
                <w:sz w:val="24"/>
              </w:rPr>
              <w:t>1个标准展位</w:t>
            </w:r>
            <w:r>
              <w:rPr>
                <w:rFonts w:ascii="仿宋_GB2312" w:hAnsi="仿宋_GB2312" w:cs="仿宋_GB2312" w:eastAsia="仿宋_GB2312"/>
                <w:sz w:val="24"/>
              </w:rPr>
              <w:t>，</w:t>
            </w:r>
            <w:r>
              <w:rPr>
                <w:rFonts w:ascii="仿宋_GB2312" w:hAnsi="仿宋_GB2312" w:cs="仿宋_GB2312" w:eastAsia="仿宋_GB2312"/>
                <w:sz w:val="24"/>
              </w:rPr>
              <w:t>参展企业</w:t>
            </w:r>
            <w:r>
              <w:rPr>
                <w:rFonts w:ascii="仿宋_GB2312" w:hAnsi="仿宋_GB2312" w:cs="仿宋_GB2312" w:eastAsia="仿宋_GB2312"/>
                <w:sz w:val="24"/>
              </w:rPr>
              <w:t>中</w:t>
            </w:r>
            <w:r>
              <w:rPr>
                <w:rFonts w:ascii="仿宋_GB2312" w:hAnsi="仿宋_GB2312" w:cs="仿宋_GB2312" w:eastAsia="仿宋_GB2312"/>
                <w:sz w:val="24"/>
              </w:rPr>
              <w:t>无</w:t>
            </w:r>
            <w:r>
              <w:rPr>
                <w:rFonts w:ascii="仿宋_GB2312" w:hAnsi="仿宋_GB2312" w:cs="仿宋_GB2312" w:eastAsia="仿宋_GB2312"/>
                <w:sz w:val="24"/>
              </w:rPr>
              <w:t>进出口</w:t>
            </w:r>
            <w:r>
              <w:rPr>
                <w:rFonts w:ascii="仿宋_GB2312" w:hAnsi="仿宋_GB2312" w:cs="仿宋_GB2312" w:eastAsia="仿宋_GB2312"/>
                <w:sz w:val="24"/>
              </w:rPr>
              <w:t>业绩企业不得超过参展企业总数的</w:t>
            </w:r>
            <w:r>
              <w:rPr>
                <w:rFonts w:ascii="仿宋_GB2312" w:hAnsi="仿宋_GB2312" w:cs="仿宋_GB2312" w:eastAsia="仿宋_GB2312"/>
                <w:sz w:val="24"/>
              </w:rPr>
              <w:t>50%。</w:t>
            </w:r>
          </w:p>
          <w:p>
            <w:pPr>
              <w:pStyle w:val="null3"/>
              <w:ind w:firstLine="640"/>
              <w:jc w:val="both"/>
            </w:pPr>
            <w:r>
              <w:rPr>
                <w:rFonts w:ascii="仿宋_GB2312" w:hAnsi="仿宋_GB2312" w:cs="仿宋_GB2312" w:eastAsia="仿宋_GB2312"/>
                <w:sz w:val="24"/>
              </w:rPr>
              <w:t>2.负责组织参展企业人员有关商务礼仪、谈判技巧、产品报价、出国纪律等方面内容的培训，负责办理参展企业人员出国手续，组织企业人员按时参加展会，并负责安排</w:t>
            </w:r>
            <w:r>
              <w:rPr>
                <w:rFonts w:ascii="仿宋_GB2312" w:hAnsi="仿宋_GB2312" w:cs="仿宋_GB2312" w:eastAsia="仿宋_GB2312"/>
                <w:sz w:val="24"/>
              </w:rPr>
              <w:t>参展</w:t>
            </w:r>
            <w:r>
              <w:rPr>
                <w:rFonts w:ascii="仿宋_GB2312" w:hAnsi="仿宋_GB2312" w:cs="仿宋_GB2312" w:eastAsia="仿宋_GB2312"/>
                <w:sz w:val="24"/>
              </w:rPr>
              <w:t>人员食宿及交通、展会期间翻译等事项，承办单位必须不少于</w:t>
            </w:r>
            <w:r>
              <w:rPr>
                <w:rFonts w:ascii="仿宋_GB2312" w:hAnsi="仿宋_GB2312" w:cs="仿宋_GB2312" w:eastAsia="仿宋_GB2312"/>
                <w:sz w:val="24"/>
              </w:rPr>
              <w:t>2人全程参与展会的组织；</w:t>
            </w:r>
          </w:p>
          <w:p>
            <w:pPr>
              <w:pStyle w:val="null3"/>
              <w:ind w:firstLine="640"/>
              <w:jc w:val="both"/>
            </w:pPr>
            <w:r>
              <w:rPr>
                <w:rFonts w:ascii="仿宋_GB2312" w:hAnsi="仿宋_GB2312" w:cs="仿宋_GB2312" w:eastAsia="仿宋_GB2312"/>
                <w:sz w:val="24"/>
              </w:rPr>
              <w:t>3.负责做好参展企业的展品运输及报关、报检等相关手续；</w:t>
            </w:r>
          </w:p>
          <w:p>
            <w:pPr>
              <w:pStyle w:val="null3"/>
              <w:ind w:firstLine="640"/>
              <w:jc w:val="both"/>
            </w:pPr>
            <w:r>
              <w:rPr>
                <w:rFonts w:ascii="仿宋_GB2312" w:hAnsi="仿宋_GB2312" w:cs="仿宋_GB2312" w:eastAsia="仿宋_GB2312"/>
                <w:sz w:val="24"/>
              </w:rPr>
              <w:t>4.负责做好公共布展，其中</w:t>
            </w:r>
            <w:r>
              <w:rPr>
                <w:rFonts w:ascii="仿宋_GB2312" w:hAnsi="仿宋_GB2312" w:cs="仿宋_GB2312" w:eastAsia="仿宋_GB2312"/>
                <w:sz w:val="24"/>
              </w:rPr>
              <w:t>每家企业公共布展补助费不超过</w:t>
            </w:r>
            <w:r>
              <w:rPr>
                <w:rFonts w:ascii="仿宋_GB2312" w:hAnsi="仿宋_GB2312" w:cs="仿宋_GB2312" w:eastAsia="仿宋_GB2312"/>
                <w:sz w:val="24"/>
              </w:rPr>
              <w:t>5000元，</w:t>
            </w:r>
            <w:r>
              <w:rPr>
                <w:rFonts w:ascii="仿宋_GB2312" w:hAnsi="仿宋_GB2312" w:cs="仿宋_GB2312" w:eastAsia="仿宋_GB2312"/>
                <w:sz w:val="24"/>
              </w:rPr>
              <w:t>公共布展费用补助上限为</w:t>
            </w:r>
            <w:r>
              <w:rPr>
                <w:rFonts w:ascii="仿宋_GB2312" w:hAnsi="仿宋_GB2312" w:cs="仿宋_GB2312" w:eastAsia="仿宋_GB2312"/>
                <w:sz w:val="24"/>
              </w:rPr>
              <w:t>8</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5.负责先行垫付展位费，标准内的运输费及报关、报检费用和标准内的公共布展费用</w:t>
            </w:r>
            <w:r>
              <w:rPr>
                <w:rFonts w:ascii="仿宋_GB2312" w:hAnsi="仿宋_GB2312" w:cs="仿宋_GB2312" w:eastAsia="仿宋_GB2312"/>
                <w:sz w:val="24"/>
              </w:rPr>
              <w:t>以及人员境外食宿补贴</w:t>
            </w:r>
            <w:r>
              <w:rPr>
                <w:rFonts w:ascii="仿宋_GB2312" w:hAnsi="仿宋_GB2312" w:cs="仿宋_GB2312" w:eastAsia="仿宋_GB2312"/>
                <w:sz w:val="24"/>
              </w:rPr>
              <w:t>，待展会结束后由商务厅按标准核销；</w:t>
            </w:r>
          </w:p>
          <w:p>
            <w:pPr>
              <w:pStyle w:val="null3"/>
              <w:ind w:firstLine="640"/>
              <w:jc w:val="both"/>
            </w:pPr>
            <w:r>
              <w:rPr>
                <w:rFonts w:ascii="仿宋_GB2312" w:hAnsi="仿宋_GB2312" w:cs="仿宋_GB2312" w:eastAsia="仿宋_GB2312"/>
                <w:sz w:val="24"/>
              </w:rPr>
              <w:t>6.承办单位服务为</w:t>
            </w:r>
            <w:r>
              <w:rPr>
                <w:rFonts w:ascii="仿宋_GB2312" w:hAnsi="仿宋_GB2312" w:cs="仿宋_GB2312" w:eastAsia="仿宋_GB2312"/>
                <w:sz w:val="24"/>
              </w:rPr>
              <w:t>10</w:t>
            </w:r>
            <w:r>
              <w:rPr>
                <w:rFonts w:ascii="仿宋_GB2312" w:hAnsi="仿宋_GB2312" w:cs="仿宋_GB2312" w:eastAsia="仿宋_GB2312"/>
                <w:sz w:val="24"/>
              </w:rPr>
              <w:t>万元。</w:t>
            </w:r>
          </w:p>
          <w:p>
            <w:pPr>
              <w:pStyle w:val="null3"/>
              <w:ind w:firstLine="640"/>
              <w:jc w:val="both"/>
            </w:pPr>
            <w:r>
              <w:rPr>
                <w:rFonts w:ascii="仿宋_GB2312" w:hAnsi="仿宋_GB2312" w:cs="仿宋_GB2312" w:eastAsia="仿宋_GB2312"/>
                <w:sz w:val="24"/>
              </w:rPr>
              <w:t>7.服务期限：合同签订之日起至展会结束后30日（需按采购人要求提供活动相关资料）。</w:t>
            </w:r>
          </w:p>
          <w:p>
            <w:pPr>
              <w:pStyle w:val="null3"/>
            </w:pPr>
            <w:r>
              <w:rPr>
                <w:rFonts w:ascii="仿宋_GB2312" w:hAnsi="仿宋_GB2312" w:cs="仿宋_GB2312" w:eastAsia="仿宋_GB2312"/>
                <w:sz w:val="24"/>
              </w:rPr>
              <w:t>三、（一）服务期限</w:t>
            </w:r>
            <w:r>
              <w:br/>
            </w:r>
            <w:r>
              <w:rPr>
                <w:rFonts w:ascii="仿宋_GB2312" w:hAnsi="仿宋_GB2312" w:cs="仿宋_GB2312" w:eastAsia="仿宋_GB2312"/>
                <w:sz w:val="24"/>
              </w:rPr>
              <w:t xml:space="preserve"> 合同签订之日起至展会结束后30日（需按采购人要求提供活动相关资料）。</w:t>
            </w:r>
            <w:r>
              <w:br/>
            </w:r>
            <w:r>
              <w:rPr>
                <w:rFonts w:ascii="仿宋_GB2312" w:hAnsi="仿宋_GB2312" w:cs="仿宋_GB2312" w:eastAsia="仿宋_GB2312"/>
                <w:sz w:val="24"/>
              </w:rPr>
              <w:t xml:space="preserve"> （二）款项结算</w:t>
            </w:r>
            <w:r>
              <w:br/>
            </w:r>
            <w:r>
              <w:rPr>
                <w:rFonts w:ascii="仿宋_GB2312" w:hAnsi="仿宋_GB2312" w:cs="仿宋_GB2312" w:eastAsia="仿宋_GB2312"/>
                <w:sz w:val="24"/>
              </w:rPr>
              <w:t xml:space="preserve"> 详见采购文件</w:t>
            </w:r>
            <w:r>
              <w:br/>
            </w:r>
            <w:r>
              <w:rPr>
                <w:rFonts w:ascii="仿宋_GB2312" w:hAnsi="仿宋_GB2312" w:cs="仿宋_GB2312" w:eastAsia="仿宋_GB2312"/>
                <w:sz w:val="24"/>
              </w:rPr>
              <w:t xml:space="preserve"> 四、 其他</w:t>
            </w:r>
            <w:r>
              <w:br/>
            </w:r>
            <w:r>
              <w:rPr>
                <w:rFonts w:ascii="仿宋_GB2312" w:hAnsi="仿宋_GB2312" w:cs="仿宋_GB2312" w:eastAsia="仿宋_GB2312"/>
                <w:sz w:val="24"/>
              </w:rPr>
              <w:t xml:space="preserve"> （一）进度要求</w:t>
            </w:r>
            <w:r>
              <w:br/>
            </w:r>
            <w:r>
              <w:rPr>
                <w:rFonts w:ascii="仿宋_GB2312" w:hAnsi="仿宋_GB2312" w:cs="仿宋_GB2312" w:eastAsia="仿宋_GB2312"/>
                <w:sz w:val="24"/>
              </w:rPr>
              <w:t xml:space="preserve"> 按照甲方要求执行。</w:t>
            </w:r>
            <w:r>
              <w:br/>
            </w:r>
            <w:r>
              <w:rPr>
                <w:rFonts w:ascii="仿宋_GB2312" w:hAnsi="仿宋_GB2312" w:cs="仿宋_GB2312" w:eastAsia="仿宋_GB2312"/>
                <w:sz w:val="24"/>
              </w:rPr>
              <w:t xml:space="preserve"> （三）质量验收标准或规范</w:t>
            </w:r>
            <w:r>
              <w:br/>
            </w:r>
            <w:r>
              <w:rPr>
                <w:rFonts w:ascii="仿宋_GB2312" w:hAnsi="仿宋_GB2312" w:cs="仿宋_GB2312" w:eastAsia="仿宋_GB2312"/>
                <w:sz w:val="24"/>
              </w:rPr>
              <w:t xml:space="preserve"> 按照合同执行</w:t>
            </w:r>
            <w:r>
              <w:br/>
            </w:r>
            <w:r>
              <w:rPr>
                <w:rFonts w:ascii="仿宋_GB2312" w:hAnsi="仿宋_GB2312" w:cs="仿宋_GB2312" w:eastAsia="仿宋_GB2312"/>
                <w:sz w:val="24"/>
              </w:rPr>
              <w:t xml:space="preserve"> （四）违约责任</w:t>
            </w:r>
            <w:r>
              <w:br/>
            </w:r>
            <w:r>
              <w:rPr>
                <w:rFonts w:ascii="仿宋_GB2312" w:hAnsi="仿宋_GB2312" w:cs="仿宋_GB2312" w:eastAsia="仿宋_GB2312"/>
                <w:sz w:val="24"/>
              </w:rPr>
              <w:t xml:space="preserve"> 按照合同执行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满足采购需求的设备设施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合同签订之日起至展会结束后30日（需按采购人要求提供活动相关资料）。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符合国家及行业现行验收标准要求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根据自身情况选择一个或多个采购包参与磋商，但只能作为其中一个采购包的第一成交候选人，已在先评审的采购包中成为第一成交候选人的供应商，将不再参与后续采购包的第一成交候选人推荐，由后续候选人顺位递补。评审工作按照采购包1→2→3→4→5→6→7→8→9→10的顺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供应商资格证明文件.docx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供应商资格证明文件.docx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供应商资格证明文件.docx 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供应商资格证明文件.docx 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供应商资格证明文件.docx 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供应商资格证明文件.docx 响应函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供应商资格证明文件.docx 响应函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供应商资格证明文件.docx 响应函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供应商资格证明文件.docx 响应函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财务状况说明</w:t>
            </w:r>
          </w:p>
        </w:tc>
        <w:tc>
          <w:tcPr>
            <w:tcW w:type="dxa" w:w="3322"/>
          </w:tcPr>
          <w:p>
            <w:pPr>
              <w:pStyle w:val="null3"/>
            </w:pPr>
            <w:r>
              <w:rPr>
                <w:rFonts w:ascii="仿宋_GB2312" w:hAnsi="仿宋_GB2312" w:cs="仿宋_GB2312" w:eastAsia="仿宋_GB2312"/>
              </w:rPr>
              <w:t>供应商须提供2023年或2024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连续六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连续六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7：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8：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9：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10：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11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采购包7：</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采购包8：</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采购包9：</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采购包10：</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采购包11：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20分；项目分析理解内容每缺一项扣4分，扣完为止；项目分析理解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展位策划方案</w:t>
            </w:r>
          </w:p>
        </w:tc>
        <w:tc>
          <w:tcPr>
            <w:tcW w:type="dxa" w:w="2492"/>
          </w:tcPr>
          <w:p>
            <w:pPr>
              <w:pStyle w:val="null3"/>
            </w:pPr>
            <w:r>
              <w:rPr>
                <w:rFonts w:ascii="仿宋_GB2312" w:hAnsi="仿宋_GB2312" w:cs="仿宋_GB2312" w:eastAsia="仿宋_GB2312"/>
              </w:rPr>
              <w:t>①展位可见性高、价格合理、数量完全满足展会要求得10分；②展位可见性一般、价格基本合理、数量满足展会要求得7分；③展位可见性较差、价格基本合理、数量不满足展会要求得4分；④展位可见性差、价格不合理、数量不满足展会要求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3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10分；②内容阐述完整但并未完全贴合项目需求理解情况、可实施性一般，得7分；③阐述内容有缺失影响、可实施性差，得3分。④内容未进行阐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"供应商具有2022年6月1日至今（以合同签订时间为准）的类似项目业绩。每提供一项得2分，满分10分。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