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版本号：SCZD2025-DY-3101-00120260227001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介入中心血管造影机维保项目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SCZD2025-DY-3101-001</w:t>
      </w:r>
      <w:r>
        <w:br/>
      </w:r>
      <w:r>
        <w:br/>
      </w:r>
      <w:r>
        <w:br/>
      </w:r>
    </w:p>
    <w:p>
      <w:pPr>
        <w:pStyle w:val="null3"/>
        <w:jc w:val="center"/>
        <w:outlineLvl w:val="5"/>
      </w:pPr>
      <w:r>
        <w:rPr>
          <w:rFonts w:ascii="仿宋_GB2312" w:hAnsi="仿宋_GB2312" w:cs="仿宋_GB2312" w:eastAsia="仿宋_GB2312"/>
          <w:sz w:val="15"/>
          <w:b/>
        </w:rPr>
        <w:t>陕西中医药大学第二附属医院</w:t>
      </w:r>
    </w:p>
    <w:p>
      <w:pPr>
        <w:pStyle w:val="null3"/>
        <w:jc w:val="center"/>
        <w:outlineLvl w:val="5"/>
      </w:pPr>
      <w:r>
        <w:rPr>
          <w:rFonts w:ascii="仿宋_GB2312" w:hAnsi="仿宋_GB2312" w:cs="仿宋_GB2312" w:eastAsia="仿宋_GB2312"/>
          <w:sz w:val="15"/>
          <w:b/>
        </w:rPr>
        <w:t>陕西省采购招标有限责任公司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介入中心血管造影机维保项目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SCZD2025-DY-3101-001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介入中心血管造影机维保项目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陕西中医药大学第二附属医院介入中心血管造影机维保项目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法定代表人/单位负责人身份证明书、授权委托书及授权代表在本单位缴纳养老保险证明：法定代表人/单位负责人身份证明书、授权委托书及授权代表在本单位缴纳养老保险证明：（1）法定代表人或单位负责人投标的，应提供法定代表人或单位负责人身份证明； （2）授权代表投标的，应提供法定代表人或单位负责人身份证明、授权委托书及授权代表在本单位缴纳养老保险证明。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3、供应商为经销商的应具有医疗器械经营许可证或经营备案凭证（投标产品须在其经营范围内）；供应商为制造厂家应具有医疗器械经营许可证或经营备案凭证（投标产品须在其经营范围内），并具有医疗器械生产许可证（投标产品须在其生产范围内）：供应商为经销商的应具有医疗器械经营许可证或经营备案凭证（投标产品须在其经营范围内）；供应商为制造厂家应具有医疗器械经营许可证或经营备案凭证（投标产品须在其经营范围内），并具有医疗器械生产许可证（投标产品须在其生产范围内）</w:t>
      </w:r>
    </w:p>
    <w:p>
      <w:pPr>
        <w:pStyle w:val="null3"/>
      </w:pPr>
      <w:r>
        <w:rPr>
          <w:rFonts w:ascii="仿宋_GB2312" w:hAnsi="仿宋_GB2312" w:cs="仿宋_GB2312" w:eastAsia="仿宋_GB2312"/>
        </w:rPr>
        <w:t>4、已向采购代理机构获取采购文件：需向采购代理机构获取单一来源采购文件，未向采购代理机构获取单一来源采购文件的供应商均无资格参加协商。</w:t>
      </w:r>
    </w:p>
    <w:p>
      <w:pPr>
        <w:pStyle w:val="null3"/>
      </w:pPr>
      <w:r>
        <w:rPr>
          <w:rFonts w:ascii="仿宋_GB2312" w:hAnsi="仿宋_GB2312" w:cs="仿宋_GB2312" w:eastAsia="仿宋_GB2312"/>
        </w:rPr>
        <w:t>5、法律、行政法规规定的其他条件：不存在违反法律法规的情况</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西咸新区沣西新城龙台观路831号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罗琳、雷鹏、程燕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银行账号：103661558713</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代理服务费收费标准：参照原国家计委计价格〔2002〕1980号文和国家发改委发改办价格〔2003〕857号文的计算方法按标准下浮50%收取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陕西中医药大学第二附属医院介入中心血管造影机维保项目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血管造影机维保</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标的名称：血管造影机维保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rPr>
              <w:t>1.维修保修保养设备名称、规格型号：西门子血管造影设备Artis Q Floor 1台</w:t>
            </w:r>
          </w:p>
          <w:p>
            <w:pPr>
              <w:pStyle w:val="null3"/>
              <w:ind w:firstLine="480"/>
              <w:jc w:val="both"/>
            </w:pPr>
            <w:r>
              <w:rPr>
                <w:rFonts w:ascii="仿宋_GB2312" w:hAnsi="仿宋_GB2312" w:cs="仿宋_GB2312" w:eastAsia="仿宋_GB2312"/>
                <w:sz w:val="21"/>
              </w:rPr>
              <w:t>2.服务内容： 整机保修含人工、球管、高压油箱、平板探测器以及其他常规配件（不包括第三方的产品和服务）</w:t>
            </w:r>
          </w:p>
          <w:p>
            <w:pPr>
              <w:pStyle w:val="null3"/>
              <w:ind w:firstLine="480"/>
              <w:jc w:val="both"/>
            </w:pPr>
            <w:r>
              <w:rPr>
                <w:rFonts w:ascii="仿宋_GB2312" w:hAnsi="仿宋_GB2312" w:cs="仿宋_GB2312" w:eastAsia="仿宋_GB2312"/>
                <w:sz w:val="21"/>
              </w:rPr>
              <w:t>3.服务要求：</w:t>
            </w:r>
          </w:p>
          <w:p>
            <w:pPr>
              <w:pStyle w:val="null3"/>
              <w:ind w:firstLine="480"/>
              <w:jc w:val="both"/>
            </w:pPr>
            <w:r>
              <w:rPr>
                <w:rFonts w:ascii="仿宋_GB2312" w:hAnsi="仿宋_GB2312" w:cs="仿宋_GB2312" w:eastAsia="仿宋_GB2312"/>
                <w:sz w:val="21"/>
              </w:rPr>
              <w:t>3.1服务期内，接到医院故障通知4小时内电话响应，工程师应在48小时内到达现场（包括节假日）。</w:t>
            </w:r>
          </w:p>
          <w:p>
            <w:pPr>
              <w:pStyle w:val="null3"/>
              <w:ind w:firstLine="480"/>
              <w:jc w:val="both"/>
            </w:pPr>
            <w:r>
              <w:rPr>
                <w:rFonts w:ascii="仿宋_GB2312" w:hAnsi="仿宋_GB2312" w:cs="仿宋_GB2312" w:eastAsia="仿宋_GB2312"/>
                <w:sz w:val="21"/>
              </w:rPr>
              <w:t>3.2服务期内，对该血管造影设备每年提供两次保养，包含图像质量的检测和校准，使其符合国家标准，保养包含保养耗材。</w:t>
            </w:r>
          </w:p>
          <w:p>
            <w:pPr>
              <w:pStyle w:val="null3"/>
              <w:ind w:firstLine="480"/>
              <w:jc w:val="both"/>
            </w:pPr>
            <w:r>
              <w:rPr>
                <w:rFonts w:ascii="仿宋_GB2312" w:hAnsi="仿宋_GB2312" w:cs="仿宋_GB2312" w:eastAsia="仿宋_GB2312"/>
                <w:sz w:val="21"/>
              </w:rPr>
              <w:t>3.3备件供应：所有更换的零部件必须为原厂认证的合格件,有追踪号码；球管必须具备球管原厂证书、球管注册证书及海关报关单。</w:t>
            </w:r>
          </w:p>
          <w:p>
            <w:pPr>
              <w:pStyle w:val="null3"/>
              <w:ind w:firstLine="480"/>
              <w:jc w:val="both"/>
            </w:pPr>
            <w:r>
              <w:rPr>
                <w:rFonts w:ascii="仿宋_GB2312" w:hAnsi="仿宋_GB2312" w:cs="仿宋_GB2312" w:eastAsia="仿宋_GB2312"/>
                <w:sz w:val="21"/>
              </w:rPr>
              <w:t>3.4提供基于企业互联网连接的远程维修服务，实时远程故障排除，实时读取故障代码并分析代码，以及基于故障代码的故障排除。</w:t>
            </w:r>
          </w:p>
          <w:p>
            <w:pPr>
              <w:pStyle w:val="null3"/>
              <w:ind w:firstLine="480"/>
              <w:jc w:val="both"/>
            </w:pPr>
            <w:r>
              <w:rPr>
                <w:rFonts w:ascii="仿宋_GB2312" w:hAnsi="仿宋_GB2312" w:cs="仿宋_GB2312" w:eastAsia="仿宋_GB2312"/>
                <w:sz w:val="21"/>
              </w:rPr>
              <w:t>3.5能通过互联网连接在线进行远程应用支持且可以实时显示操作界面，指导或在得到用户授权后进行远程操作。</w:t>
            </w:r>
          </w:p>
          <w:p>
            <w:pPr>
              <w:pStyle w:val="null3"/>
              <w:ind w:firstLine="480"/>
              <w:jc w:val="both"/>
            </w:pPr>
            <w:r>
              <w:rPr>
                <w:rFonts w:ascii="仿宋_GB2312" w:hAnsi="仿宋_GB2312" w:cs="仿宋_GB2312" w:eastAsia="仿宋_GB2312"/>
                <w:sz w:val="21"/>
              </w:rPr>
              <w:t>3.6提供原厂安全升级，提供系统软件补丁。</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合同签订一个月内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合同签订一年内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合同签订两年内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34.00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（1）提供2024或2025年度经审计的财务报告，应满足以下要求：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法定代表人/单位负责人身份证明书、授权委托书及授权代表在本单位缴纳养老保险证明：（1）法定代表人或单位负责人投标的，应提供法定代表人或单位负责人身份证明； （2）授权代表投标的，应提供法定代表人或单位负责人身份证明、授权委托书及授权代表在本单位缴纳养老保险证明。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为经销商的应具有医疗器械经营许可证或经营备案凭证（投标产品须在其经营范围内）；供应商为制造厂家应具有医疗器械经营许可证或经营备案凭证（投标产品须在其经营范围内），并具有医疗器械生产许可证（投标产品须在其生产范围内）</w:t>
            </w:r>
          </w:p>
        </w:tc>
        <w:tc>
          <w:tcPr>
            <w:tcW w:type="dxa" w:w="3322"/>
          </w:tcPr>
          <w:p>
            <w:pPr>
              <w:pStyle w:val="null3"/>
            </w:pPr>
            <w:r>
              <w:rPr>
                <w:rFonts w:ascii="仿宋_GB2312" w:hAnsi="仿宋_GB2312" w:cs="仿宋_GB2312" w:eastAsia="仿宋_GB2312"/>
              </w:rPr>
              <w:t>供应商为经销商的应具有医疗器械经营许可证或经营备案凭证（投标产品须在其经营范围内）；供应商为制造厂家应具有医疗器械经营许可证或经营备案凭证（投标产品须在其经营范围内），并具有医疗器械生产许可证（投标产品须在其生产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需向采购代理机构获取单一来源采购文件，未向采购代理机构获取单一来源采购文件的供应商均无资格参加协商。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响应内容满足采购文件的商务、技术等要求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供应商首次报价没有超出采购预算或最高限价或单项最高限价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不存在其它不符合法律法规或采购文件规定的投标无效条款的情形</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