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8D33C">
      <w:pPr>
        <w:shd w:val="clear" w:color="auto"/>
        <w:spacing w:line="360" w:lineRule="auto"/>
        <w:jc w:val="center"/>
        <w:outlineLvl w:val="0"/>
        <w:rPr>
          <w:rFonts w:eastAsia="仿宋"/>
          <w:color w:val="auto"/>
          <w:sz w:val="52"/>
          <w:szCs w:val="52"/>
          <w:highlight w:val="none"/>
        </w:rPr>
      </w:pPr>
      <w:r>
        <w:rPr>
          <w:rStyle w:val="13"/>
          <w:rFonts w:ascii="Times New Roman" w:eastAsia="仿宋"/>
          <w:b/>
          <w:bCs w:val="0"/>
          <w:color w:val="auto"/>
          <w:sz w:val="32"/>
          <w:szCs w:val="32"/>
          <w:highlight w:val="none"/>
        </w:rPr>
        <w:t>拟签订的合同</w:t>
      </w:r>
      <w:bookmarkStart w:id="0" w:name="_Hlt487972895"/>
      <w:bookmarkEnd w:id="0"/>
      <w:bookmarkStart w:id="1" w:name="_Toc216513788"/>
      <w:bookmarkStart w:id="2" w:name="_Toc487900382"/>
      <w:r>
        <w:rPr>
          <w:rStyle w:val="13"/>
          <w:rFonts w:ascii="Times New Roman" w:eastAsia="仿宋"/>
          <w:b/>
          <w:bCs w:val="0"/>
          <w:color w:val="auto"/>
          <w:sz w:val="32"/>
          <w:szCs w:val="32"/>
          <w:highlight w:val="none"/>
        </w:rPr>
        <w:t>文本</w:t>
      </w:r>
      <w:bookmarkEnd w:id="1"/>
      <w:bookmarkEnd w:id="2"/>
    </w:p>
    <w:p w14:paraId="45FC3835">
      <w:pPr>
        <w:shd w:val="clear"/>
        <w:tabs>
          <w:tab w:val="left" w:pos="735"/>
        </w:tabs>
        <w:autoSpaceDE w:val="0"/>
        <w:autoSpaceDN w:val="0"/>
        <w:adjustRightInd w:val="0"/>
        <w:snapToGrid w:val="0"/>
        <w:spacing w:before="240" w:beforeLines="100" w:line="360" w:lineRule="auto"/>
        <w:rPr>
          <w:rFonts w:eastAsia="方正仿宋_GB2312"/>
          <w:b/>
          <w:bCs/>
          <w:color w:val="auto"/>
          <w:sz w:val="24"/>
          <w:highlight w:val="none"/>
          <w:lang w:val="zh-CN"/>
        </w:rPr>
      </w:pPr>
      <w:r>
        <w:rPr>
          <w:rFonts w:eastAsia="方正仿宋_GB2312"/>
          <w:b/>
          <w:bCs/>
          <w:color w:val="auto"/>
          <w:sz w:val="24"/>
          <w:highlight w:val="none"/>
          <w:lang w:val="zh-CN"/>
        </w:rPr>
        <w:t>甲方：</w:t>
      </w:r>
      <w:r>
        <w:rPr>
          <w:rFonts w:eastAsia="方正仿宋_GB2312"/>
          <w:bCs/>
          <w:color w:val="auto"/>
          <w:sz w:val="24"/>
          <w:highlight w:val="none"/>
          <w:lang w:val="zh-CN"/>
        </w:rPr>
        <w:t xml:space="preserve">（前款所称采购人）     </w:t>
      </w:r>
      <w:r>
        <w:rPr>
          <w:rFonts w:hint="eastAsia" w:eastAsia="方正仿宋_GB2312"/>
          <w:bCs/>
          <w:color w:val="auto"/>
          <w:sz w:val="24"/>
          <w:highlight w:val="none"/>
        </w:rPr>
        <w:t xml:space="preserve">    </w:t>
      </w:r>
      <w:r>
        <w:rPr>
          <w:rFonts w:eastAsia="方正仿宋_GB2312"/>
          <w:bCs/>
          <w:color w:val="auto"/>
          <w:sz w:val="24"/>
          <w:highlight w:val="none"/>
          <w:lang w:val="zh-CN"/>
        </w:rPr>
        <w:t>住所：</w:t>
      </w:r>
    </w:p>
    <w:p w14:paraId="1CB62028">
      <w:pPr>
        <w:shd w:val="clear"/>
        <w:tabs>
          <w:tab w:val="left" w:pos="735"/>
        </w:tabs>
        <w:autoSpaceDE w:val="0"/>
        <w:autoSpaceDN w:val="0"/>
        <w:adjustRightInd w:val="0"/>
        <w:snapToGrid w:val="0"/>
        <w:spacing w:line="360" w:lineRule="auto"/>
        <w:rPr>
          <w:rFonts w:eastAsia="方正仿宋_GB2312"/>
          <w:bCs/>
          <w:color w:val="auto"/>
          <w:sz w:val="24"/>
          <w:highlight w:val="none"/>
          <w:lang w:val="zh-CN"/>
        </w:rPr>
      </w:pPr>
      <w:r>
        <w:rPr>
          <w:rFonts w:eastAsia="方正仿宋_GB2312"/>
          <w:b/>
          <w:bCs/>
          <w:color w:val="auto"/>
          <w:sz w:val="24"/>
          <w:highlight w:val="none"/>
          <w:lang w:val="zh-CN"/>
        </w:rPr>
        <w:t>乙方：</w:t>
      </w:r>
      <w:r>
        <w:rPr>
          <w:rFonts w:eastAsia="方正仿宋_GB2312"/>
          <w:bCs/>
          <w:color w:val="auto"/>
          <w:sz w:val="24"/>
          <w:highlight w:val="none"/>
          <w:lang w:val="zh-CN"/>
        </w:rPr>
        <w:t>（前款所称</w:t>
      </w:r>
      <w:r>
        <w:rPr>
          <w:rFonts w:hint="eastAsia" w:eastAsia="方正仿宋_GB2312"/>
          <w:bCs/>
          <w:color w:val="auto"/>
          <w:sz w:val="24"/>
          <w:highlight w:val="none"/>
        </w:rPr>
        <w:t>成交供应商</w:t>
      </w:r>
      <w:r>
        <w:rPr>
          <w:rFonts w:eastAsia="方正仿宋_GB2312"/>
          <w:bCs/>
          <w:color w:val="auto"/>
          <w:sz w:val="24"/>
          <w:highlight w:val="none"/>
          <w:lang w:val="zh-CN"/>
        </w:rPr>
        <w:t>）     住所：</w:t>
      </w:r>
    </w:p>
    <w:p w14:paraId="279A26F0">
      <w:pPr>
        <w:shd w:val="clear"/>
        <w:adjustRightInd w:val="0"/>
        <w:snapToGrid w:val="0"/>
        <w:spacing w:line="360" w:lineRule="auto"/>
        <w:ind w:firstLine="480" w:firstLineChars="200"/>
        <w:rPr>
          <w:rFonts w:eastAsia="方正仿宋_GB2312"/>
          <w:color w:val="auto"/>
          <w:sz w:val="24"/>
          <w:highlight w:val="none"/>
        </w:rPr>
      </w:pPr>
      <w:bookmarkStart w:id="3" w:name="_Toc19515384"/>
    </w:p>
    <w:p w14:paraId="57BE8AC8">
      <w:pPr>
        <w:numPr>
          <w:ilvl w:val="0"/>
          <w:numId w:val="0"/>
        </w:numPr>
        <w:shd w:val="clear"/>
        <w:adjustRightInd w:val="0"/>
        <w:snapToGrid w:val="0"/>
        <w:spacing w:line="360" w:lineRule="auto"/>
        <w:ind w:firstLine="482" w:firstLineChars="200"/>
        <w:rPr>
          <w:rFonts w:eastAsia="方正仿宋_GB2312"/>
          <w:b/>
          <w:bCs/>
          <w:color w:val="auto"/>
          <w:sz w:val="24"/>
          <w:highlight w:val="none"/>
        </w:rPr>
      </w:pPr>
      <w:r>
        <w:rPr>
          <w:rFonts w:hint="eastAsia" w:ascii="Times New Roman" w:hAnsi="Times New Roman" w:eastAsia="方正仿宋_GB2312" w:cs="Times New Roman"/>
          <w:b/>
          <w:bCs/>
          <w:color w:val="auto"/>
          <w:kern w:val="2"/>
          <w:sz w:val="24"/>
          <w:highlight w:val="none"/>
          <w:lang w:val="en-US" w:eastAsia="zh-CN" w:bidi="ar-SA"/>
        </w:rPr>
        <w:t>一、</w:t>
      </w:r>
      <w:r>
        <w:rPr>
          <w:rFonts w:eastAsia="方正仿宋_GB2312"/>
          <w:b/>
          <w:bCs/>
          <w:color w:val="auto"/>
          <w:sz w:val="24"/>
          <w:highlight w:val="none"/>
        </w:rPr>
        <w:t>合同内容（标的、数量、质量等）</w:t>
      </w:r>
      <w:bookmarkEnd w:id="3"/>
    </w:p>
    <w:tbl>
      <w:tblPr>
        <w:tblStyle w:val="15"/>
        <w:tblW w:w="500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07"/>
        <w:gridCol w:w="2673"/>
        <w:gridCol w:w="1343"/>
        <w:gridCol w:w="1716"/>
        <w:gridCol w:w="1690"/>
      </w:tblGrid>
      <w:tr w14:paraId="307C4B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544" w:type="pct"/>
            <w:vAlign w:val="top"/>
          </w:tcPr>
          <w:p w14:paraId="02302EE6">
            <w:pPr>
              <w:pStyle w:val="14"/>
              <w:shd w:val="clear"/>
              <w:spacing w:before="22" w:line="221" w:lineRule="auto"/>
              <w:ind w:left="74"/>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pacing w:val="-2"/>
                <w:sz w:val="24"/>
                <w:szCs w:val="24"/>
                <w:highlight w:val="none"/>
              </w:rPr>
              <w:t>序号</w:t>
            </w:r>
          </w:p>
        </w:tc>
        <w:tc>
          <w:tcPr>
            <w:tcW w:w="1604" w:type="pct"/>
            <w:vAlign w:val="top"/>
          </w:tcPr>
          <w:p w14:paraId="34A7320D">
            <w:pPr>
              <w:pStyle w:val="14"/>
              <w:shd w:val="clear"/>
              <w:spacing w:before="32" w:line="221" w:lineRule="auto"/>
              <w:ind w:left="71"/>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pacing w:val="-2"/>
                <w:sz w:val="24"/>
                <w:szCs w:val="24"/>
                <w:highlight w:val="none"/>
              </w:rPr>
              <w:t>设备名称</w:t>
            </w:r>
          </w:p>
        </w:tc>
        <w:tc>
          <w:tcPr>
            <w:tcW w:w="806" w:type="pct"/>
            <w:vAlign w:val="top"/>
          </w:tcPr>
          <w:p w14:paraId="574C7B63">
            <w:pPr>
              <w:pStyle w:val="14"/>
              <w:shd w:val="clear"/>
              <w:spacing w:before="32" w:line="221" w:lineRule="auto"/>
              <w:ind w:left="102"/>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pacing w:val="-2"/>
                <w:sz w:val="24"/>
                <w:szCs w:val="24"/>
                <w:highlight w:val="none"/>
              </w:rPr>
              <w:t>序列号</w:t>
            </w:r>
          </w:p>
        </w:tc>
        <w:tc>
          <w:tcPr>
            <w:tcW w:w="1030" w:type="pct"/>
            <w:vAlign w:val="top"/>
          </w:tcPr>
          <w:p w14:paraId="0DA46AEA">
            <w:pPr>
              <w:pStyle w:val="14"/>
              <w:shd w:val="clear"/>
              <w:spacing w:before="41" w:line="219" w:lineRule="auto"/>
              <w:ind w:left="94"/>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pacing w:val="-2"/>
                <w:sz w:val="24"/>
                <w:szCs w:val="24"/>
                <w:highlight w:val="none"/>
              </w:rPr>
              <w:t>合同类型</w:t>
            </w:r>
          </w:p>
        </w:tc>
        <w:tc>
          <w:tcPr>
            <w:tcW w:w="1014" w:type="pct"/>
            <w:vAlign w:val="top"/>
          </w:tcPr>
          <w:p w14:paraId="6A2F4D48">
            <w:pPr>
              <w:pStyle w:val="14"/>
              <w:shd w:val="clear"/>
              <w:spacing w:before="52" w:line="220" w:lineRule="auto"/>
              <w:ind w:left="76"/>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pacing w:val="-2"/>
                <w:sz w:val="24"/>
                <w:szCs w:val="24"/>
                <w:highlight w:val="none"/>
              </w:rPr>
              <w:t>合同期限</w:t>
            </w:r>
          </w:p>
        </w:tc>
      </w:tr>
      <w:tr w14:paraId="075CC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544" w:type="pct"/>
            <w:vAlign w:val="top"/>
          </w:tcPr>
          <w:p w14:paraId="122661A6">
            <w:pPr>
              <w:pStyle w:val="14"/>
              <w:shd w:val="clear"/>
              <w:spacing w:before="75" w:line="241" w:lineRule="auto"/>
              <w:ind w:left="74"/>
              <w:jc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1</w:t>
            </w:r>
          </w:p>
        </w:tc>
        <w:tc>
          <w:tcPr>
            <w:tcW w:w="1604" w:type="pct"/>
            <w:vAlign w:val="top"/>
          </w:tcPr>
          <w:p w14:paraId="14AE6753">
            <w:pPr>
              <w:pStyle w:val="14"/>
              <w:shd w:val="clear"/>
              <w:spacing w:before="34" w:line="224" w:lineRule="auto"/>
              <w:ind w:left="71"/>
              <w:jc w:val="center"/>
              <w:rPr>
                <w:rFonts w:hint="eastAsia" w:ascii="方正仿宋_GB2312" w:hAnsi="方正仿宋_GB2312" w:eastAsia="方正仿宋_GB2312" w:cs="方正仿宋_GB2312"/>
                <w:color w:val="auto"/>
                <w:sz w:val="24"/>
                <w:szCs w:val="24"/>
                <w:highlight w:val="none"/>
              </w:rPr>
            </w:pPr>
          </w:p>
        </w:tc>
        <w:tc>
          <w:tcPr>
            <w:tcW w:w="806" w:type="pct"/>
            <w:vAlign w:val="top"/>
          </w:tcPr>
          <w:p w14:paraId="0FDAC25A">
            <w:pPr>
              <w:pStyle w:val="14"/>
              <w:shd w:val="clear"/>
              <w:spacing w:before="65"/>
              <w:ind w:left="102"/>
              <w:jc w:val="center"/>
              <w:rPr>
                <w:rFonts w:hint="eastAsia" w:ascii="方正仿宋_GB2312" w:hAnsi="方正仿宋_GB2312" w:eastAsia="方正仿宋_GB2312" w:cs="方正仿宋_GB2312"/>
                <w:color w:val="auto"/>
                <w:sz w:val="24"/>
                <w:szCs w:val="24"/>
                <w:highlight w:val="none"/>
              </w:rPr>
            </w:pPr>
          </w:p>
        </w:tc>
        <w:tc>
          <w:tcPr>
            <w:tcW w:w="1030" w:type="pct"/>
            <w:vAlign w:val="top"/>
          </w:tcPr>
          <w:p w14:paraId="29BC0113">
            <w:pPr>
              <w:pStyle w:val="14"/>
              <w:shd w:val="clear"/>
              <w:spacing w:before="49" w:line="220" w:lineRule="auto"/>
              <w:ind w:left="94"/>
              <w:jc w:val="center"/>
              <w:rPr>
                <w:rFonts w:hint="eastAsia" w:ascii="方正仿宋_GB2312" w:hAnsi="方正仿宋_GB2312" w:eastAsia="方正仿宋_GB2312" w:cs="方正仿宋_GB2312"/>
                <w:color w:val="auto"/>
                <w:sz w:val="24"/>
                <w:szCs w:val="24"/>
                <w:highlight w:val="none"/>
              </w:rPr>
            </w:pPr>
          </w:p>
        </w:tc>
        <w:tc>
          <w:tcPr>
            <w:tcW w:w="1014" w:type="pct"/>
            <w:vAlign w:val="top"/>
          </w:tcPr>
          <w:p w14:paraId="71202600">
            <w:pPr>
              <w:pStyle w:val="14"/>
              <w:shd w:val="clear"/>
              <w:spacing w:before="39" w:line="219" w:lineRule="auto"/>
              <w:ind w:left="76"/>
              <w:jc w:val="center"/>
              <w:rPr>
                <w:rFonts w:hint="eastAsia" w:ascii="方正仿宋_GB2312" w:hAnsi="方正仿宋_GB2312" w:eastAsia="方正仿宋_GB2312" w:cs="方正仿宋_GB2312"/>
                <w:color w:val="auto"/>
                <w:sz w:val="24"/>
                <w:szCs w:val="24"/>
                <w:highlight w:val="none"/>
              </w:rPr>
            </w:pPr>
          </w:p>
        </w:tc>
      </w:tr>
    </w:tbl>
    <w:p w14:paraId="632986A7">
      <w:pPr>
        <w:shd w:val="clear"/>
        <w:adjustRightInd w:val="0"/>
        <w:snapToGrid w:val="0"/>
        <w:spacing w:line="360" w:lineRule="auto"/>
        <w:ind w:firstLine="482" w:firstLineChars="200"/>
        <w:rPr>
          <w:rFonts w:eastAsia="方正仿宋_GB2312"/>
          <w:b/>
          <w:bCs/>
          <w:color w:val="auto"/>
          <w:sz w:val="24"/>
          <w:highlight w:val="none"/>
        </w:rPr>
      </w:pPr>
      <w:bookmarkStart w:id="4" w:name="_Toc19515385"/>
      <w:r>
        <w:rPr>
          <w:rFonts w:eastAsia="方正仿宋_GB2312"/>
          <w:b/>
          <w:bCs/>
          <w:color w:val="auto"/>
          <w:sz w:val="24"/>
          <w:highlight w:val="none"/>
        </w:rPr>
        <w:t>二、合同价款</w:t>
      </w:r>
      <w:bookmarkEnd w:id="4"/>
    </w:p>
    <w:p w14:paraId="66065A3C">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1、合同总价：</w:t>
      </w:r>
    </w:p>
    <w:p w14:paraId="350E4D76">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2、合同总价包括：</w:t>
      </w:r>
      <w:r>
        <w:rPr>
          <w:rFonts w:hint="eastAsia" w:eastAsia="方正仿宋_GB2312"/>
          <w:color w:val="auto"/>
          <w:sz w:val="24"/>
          <w:highlight w:val="none"/>
          <w:lang w:val="en-US" w:eastAsia="zh-CN"/>
        </w:rPr>
        <w:t>合同总价</w:t>
      </w:r>
      <w:r>
        <w:rPr>
          <w:rFonts w:hint="eastAsia" w:eastAsia="方正仿宋_GB2312"/>
          <w:color w:val="auto"/>
          <w:sz w:val="24"/>
          <w:highlight w:val="none"/>
        </w:rPr>
        <w:t>为提供服务的所有费用，包括但不限于提供项目实施费、自行测试费、培训费、人工费、材料费、管理费、供应商应缴纳的所有税费、规费、保险费（如果有）、安装费、集成费等全部费用。</w:t>
      </w:r>
    </w:p>
    <w:p w14:paraId="3ADB2839">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3、合同为固定总价合同，不受市场价变化的影响。</w:t>
      </w:r>
    </w:p>
    <w:p w14:paraId="02FC46AE">
      <w:pPr>
        <w:shd w:val="clear"/>
        <w:adjustRightInd w:val="0"/>
        <w:snapToGrid w:val="0"/>
        <w:spacing w:line="360" w:lineRule="auto"/>
        <w:ind w:firstLine="482" w:firstLineChars="200"/>
        <w:rPr>
          <w:rFonts w:eastAsia="方正仿宋_GB2312"/>
          <w:b/>
          <w:bCs/>
          <w:color w:val="auto"/>
          <w:sz w:val="24"/>
          <w:highlight w:val="none"/>
        </w:rPr>
      </w:pPr>
      <w:bookmarkStart w:id="5" w:name="_Toc19515386"/>
      <w:r>
        <w:rPr>
          <w:rFonts w:eastAsia="方正仿宋_GB2312"/>
          <w:b/>
          <w:bCs/>
          <w:color w:val="auto"/>
          <w:sz w:val="24"/>
          <w:highlight w:val="none"/>
        </w:rPr>
        <w:t>三、合同结算</w:t>
      </w:r>
      <w:bookmarkEnd w:id="5"/>
    </w:p>
    <w:p w14:paraId="4C923401">
      <w:pPr>
        <w:shd w:val="clear"/>
        <w:adjustRightInd w:val="0"/>
        <w:snapToGrid w:val="0"/>
        <w:spacing w:line="360" w:lineRule="auto"/>
        <w:ind w:firstLine="480" w:firstLineChars="200"/>
        <w:rPr>
          <w:rFonts w:hint="eastAsia" w:eastAsia="方正仿宋_GB2312"/>
          <w:color w:val="auto"/>
          <w:sz w:val="24"/>
          <w:highlight w:val="none"/>
          <w:lang w:eastAsia="zh-CN"/>
        </w:rPr>
      </w:pPr>
      <w:bookmarkStart w:id="6" w:name="_Toc19515387"/>
      <w:r>
        <w:rPr>
          <w:rFonts w:eastAsia="方正仿宋_GB2312"/>
          <w:color w:val="auto"/>
          <w:sz w:val="24"/>
          <w:highlight w:val="none"/>
        </w:rPr>
        <w:t>1、付款比例：</w:t>
      </w:r>
      <w:r>
        <w:rPr>
          <w:rFonts w:hint="eastAsia" w:eastAsia="方正仿宋_GB2312"/>
          <w:color w:val="auto"/>
          <w:sz w:val="24"/>
          <w:highlight w:val="none"/>
        </w:rPr>
        <w:t>合同签订一个月内 ，达到付款条件起 30 日内，支付合同总金额的 33.00%</w:t>
      </w:r>
      <w:r>
        <w:rPr>
          <w:rFonts w:hint="eastAsia" w:eastAsia="方正仿宋_GB2312"/>
          <w:color w:val="auto"/>
          <w:sz w:val="24"/>
          <w:highlight w:val="none"/>
          <w:lang w:eastAsia="zh-CN"/>
        </w:rPr>
        <w:t>；</w:t>
      </w:r>
      <w:r>
        <w:rPr>
          <w:rFonts w:hint="eastAsia" w:eastAsia="方正仿宋_GB2312"/>
          <w:color w:val="auto"/>
          <w:sz w:val="24"/>
          <w:highlight w:val="none"/>
        </w:rPr>
        <w:t>合同签订一年内 ，达到付款条件起 30 日内，支付合同总金额的 33.00%</w:t>
      </w:r>
      <w:r>
        <w:rPr>
          <w:rFonts w:hint="eastAsia" w:eastAsia="方正仿宋_GB2312"/>
          <w:color w:val="auto"/>
          <w:sz w:val="24"/>
          <w:highlight w:val="none"/>
          <w:lang w:eastAsia="zh-CN"/>
        </w:rPr>
        <w:t>；</w:t>
      </w:r>
      <w:r>
        <w:rPr>
          <w:rFonts w:hint="eastAsia" w:eastAsia="方正仿宋_GB2312"/>
          <w:color w:val="auto"/>
          <w:sz w:val="24"/>
          <w:highlight w:val="none"/>
        </w:rPr>
        <w:t>合同签订两年内 ，达到付款条件起 30 日内，支付合同总金额的 34.00%。</w:t>
      </w:r>
    </w:p>
    <w:p w14:paraId="0B1F8DCA">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2、结算方式：银行转账。</w:t>
      </w:r>
    </w:p>
    <w:p w14:paraId="2BCF4C43">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3、结算单位：由</w:t>
      </w:r>
      <w:r>
        <w:rPr>
          <w:rFonts w:hint="eastAsia" w:eastAsia="方正仿宋_GB2312"/>
          <w:color w:val="auto"/>
          <w:sz w:val="24"/>
          <w:highlight w:val="none"/>
          <w:u w:val="single"/>
          <w:lang w:val="en-US" w:eastAsia="zh-CN"/>
        </w:rPr>
        <w:t>甲方</w:t>
      </w:r>
      <w:r>
        <w:rPr>
          <w:rFonts w:eastAsia="方正仿宋_GB2312"/>
          <w:color w:val="auto"/>
          <w:sz w:val="24"/>
          <w:highlight w:val="none"/>
        </w:rPr>
        <w:t>负责结算，乙方开具合同总价数的全额发票交采购人。</w:t>
      </w:r>
    </w:p>
    <w:p w14:paraId="525DC8B9">
      <w:pPr>
        <w:shd w:val="clear"/>
        <w:adjustRightInd w:val="0"/>
        <w:snapToGrid w:val="0"/>
        <w:spacing w:line="360" w:lineRule="auto"/>
        <w:ind w:firstLine="482" w:firstLineChars="200"/>
        <w:rPr>
          <w:rFonts w:eastAsia="方正仿宋_GB2312"/>
          <w:b/>
          <w:bCs/>
          <w:color w:val="auto"/>
          <w:sz w:val="24"/>
          <w:highlight w:val="none"/>
        </w:rPr>
      </w:pPr>
      <w:r>
        <w:rPr>
          <w:rFonts w:eastAsia="方正仿宋_GB2312"/>
          <w:b/>
          <w:bCs/>
          <w:color w:val="auto"/>
          <w:sz w:val="24"/>
          <w:highlight w:val="none"/>
        </w:rPr>
        <w:t>四、</w:t>
      </w:r>
      <w:r>
        <w:rPr>
          <w:rFonts w:hint="eastAsia" w:eastAsia="方正仿宋_GB2312"/>
          <w:b/>
          <w:bCs/>
          <w:color w:val="auto"/>
          <w:sz w:val="24"/>
          <w:highlight w:val="none"/>
          <w:lang w:val="en-US" w:eastAsia="zh-CN"/>
        </w:rPr>
        <w:t>服务期</w:t>
      </w:r>
      <w:r>
        <w:rPr>
          <w:rFonts w:eastAsia="方正仿宋_GB2312"/>
          <w:b/>
          <w:bCs/>
          <w:color w:val="auto"/>
          <w:sz w:val="24"/>
          <w:highlight w:val="none"/>
        </w:rPr>
        <w:t>、</w:t>
      </w:r>
      <w:r>
        <w:rPr>
          <w:rFonts w:hint="eastAsia" w:eastAsia="方正仿宋_GB2312"/>
          <w:b/>
          <w:bCs/>
          <w:color w:val="auto"/>
          <w:sz w:val="24"/>
          <w:highlight w:val="none"/>
          <w:lang w:val="en-US" w:eastAsia="zh-CN"/>
        </w:rPr>
        <w:t>服务</w:t>
      </w:r>
      <w:r>
        <w:rPr>
          <w:rFonts w:eastAsia="方正仿宋_GB2312"/>
          <w:b/>
          <w:bCs/>
          <w:color w:val="auto"/>
          <w:sz w:val="24"/>
          <w:highlight w:val="none"/>
        </w:rPr>
        <w:t>地点</w:t>
      </w:r>
      <w:bookmarkEnd w:id="6"/>
    </w:p>
    <w:p w14:paraId="65A90A86">
      <w:pPr>
        <w:shd w:val="clear"/>
        <w:adjustRightInd w:val="0"/>
        <w:snapToGrid w:val="0"/>
        <w:spacing w:line="360" w:lineRule="auto"/>
        <w:ind w:firstLine="480" w:firstLineChars="200"/>
        <w:rPr>
          <w:rFonts w:hint="default" w:eastAsia="方正仿宋_GB2312"/>
          <w:color w:val="auto"/>
          <w:sz w:val="24"/>
          <w:highlight w:val="none"/>
          <w:lang w:val="en-US" w:eastAsia="zh-CN"/>
        </w:rPr>
      </w:pPr>
      <w:r>
        <w:rPr>
          <w:rFonts w:eastAsia="方正仿宋_GB2312"/>
          <w:color w:val="auto"/>
          <w:sz w:val="24"/>
          <w:highlight w:val="none"/>
        </w:rPr>
        <w:t>1、</w:t>
      </w:r>
      <w:r>
        <w:rPr>
          <w:rFonts w:hint="eastAsia" w:eastAsia="方正仿宋_GB2312"/>
          <w:color w:val="auto"/>
          <w:sz w:val="24"/>
          <w:highlight w:val="none"/>
          <w:lang w:val="en-US" w:eastAsia="zh-CN"/>
        </w:rPr>
        <w:t>服务期</w:t>
      </w:r>
      <w:r>
        <w:rPr>
          <w:rFonts w:eastAsia="方正仿宋_GB2312"/>
          <w:color w:val="auto"/>
          <w:sz w:val="24"/>
          <w:highlight w:val="none"/>
        </w:rPr>
        <w:t>：</w:t>
      </w:r>
      <w:r>
        <w:rPr>
          <w:rFonts w:hint="eastAsia" w:eastAsia="方正仿宋_GB2312"/>
          <w:color w:val="auto"/>
          <w:sz w:val="24"/>
          <w:highlight w:val="none"/>
          <w:lang w:val="en-US" w:eastAsia="zh-CN"/>
        </w:rPr>
        <w:t>自合同签订之日起3年</w:t>
      </w:r>
    </w:p>
    <w:p w14:paraId="595A44E2">
      <w:pPr>
        <w:shd w:val="clear"/>
        <w:adjustRightInd w:val="0"/>
        <w:snapToGrid w:val="0"/>
        <w:spacing w:line="360" w:lineRule="auto"/>
        <w:ind w:firstLine="480" w:firstLineChars="200"/>
        <w:rPr>
          <w:rFonts w:hint="default" w:eastAsia="方正仿宋_GB2312"/>
          <w:color w:val="auto"/>
          <w:sz w:val="24"/>
          <w:highlight w:val="none"/>
          <w:lang w:val="en-US" w:eastAsia="zh-CN"/>
        </w:rPr>
      </w:pPr>
      <w:r>
        <w:rPr>
          <w:rFonts w:eastAsia="方正仿宋_GB2312"/>
          <w:color w:val="auto"/>
          <w:sz w:val="24"/>
          <w:highlight w:val="none"/>
        </w:rPr>
        <w:t>2、</w:t>
      </w:r>
      <w:r>
        <w:rPr>
          <w:rFonts w:hint="eastAsia" w:eastAsia="方正仿宋_GB2312"/>
          <w:color w:val="auto"/>
          <w:sz w:val="24"/>
          <w:highlight w:val="none"/>
          <w:lang w:val="en-US" w:eastAsia="zh-CN"/>
        </w:rPr>
        <w:t>服务</w:t>
      </w:r>
      <w:bookmarkStart w:id="13" w:name="_GoBack"/>
      <w:bookmarkEnd w:id="13"/>
      <w:r>
        <w:rPr>
          <w:rFonts w:eastAsia="方正仿宋_GB2312"/>
          <w:color w:val="auto"/>
          <w:sz w:val="24"/>
          <w:highlight w:val="none"/>
        </w:rPr>
        <w:t>地点：</w:t>
      </w:r>
      <w:r>
        <w:rPr>
          <w:rFonts w:hint="eastAsia" w:eastAsia="方正仿宋_GB2312"/>
          <w:color w:val="auto"/>
          <w:sz w:val="24"/>
          <w:highlight w:val="none"/>
          <w:lang w:val="en-US" w:eastAsia="zh-CN"/>
        </w:rPr>
        <w:t>甲方指定地点</w:t>
      </w:r>
    </w:p>
    <w:p w14:paraId="57F3AB7E">
      <w:pPr>
        <w:shd w:val="clear"/>
        <w:adjustRightInd w:val="0"/>
        <w:snapToGrid w:val="0"/>
        <w:spacing w:line="360" w:lineRule="auto"/>
        <w:ind w:firstLine="482" w:firstLineChars="200"/>
        <w:rPr>
          <w:rFonts w:eastAsia="方正仿宋_GB2312"/>
          <w:b/>
          <w:bCs/>
          <w:color w:val="auto"/>
          <w:sz w:val="24"/>
          <w:highlight w:val="none"/>
        </w:rPr>
      </w:pPr>
      <w:bookmarkStart w:id="7" w:name="_Toc19515390"/>
      <w:r>
        <w:rPr>
          <w:rFonts w:eastAsia="方正仿宋_GB2312"/>
          <w:b/>
          <w:bCs/>
          <w:color w:val="auto"/>
          <w:sz w:val="24"/>
          <w:highlight w:val="none"/>
        </w:rPr>
        <w:t>五、技术服务</w:t>
      </w:r>
      <w:bookmarkEnd w:id="7"/>
    </w:p>
    <w:p w14:paraId="2849BDF5">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1、对技术服务的要求：</w:t>
      </w:r>
    </w:p>
    <w:p w14:paraId="1C1FA5FE">
      <w:pPr>
        <w:shd w:val="clear"/>
        <w:adjustRightInd w:val="0"/>
        <w:snapToGrid w:val="0"/>
        <w:spacing w:line="360" w:lineRule="auto"/>
        <w:ind w:firstLine="420" w:firstLineChars="200"/>
        <w:rPr>
          <w:rFonts w:hint="eastAsia" w:ascii="Times New Roman" w:hAnsi="Times New Roman" w:eastAsia="方正仿宋_GB2312" w:cs="Times New Roman"/>
          <w:color w:val="auto"/>
          <w:sz w:val="24"/>
          <w:highlight w:val="none"/>
        </w:rPr>
      </w:pPr>
      <w:r>
        <w:rPr>
          <w:rFonts w:hint="eastAsia"/>
          <w:color w:val="auto"/>
          <w:highlight w:val="none"/>
        </w:rPr>
        <w:t></w:t>
      </w:r>
      <w:r>
        <w:rPr>
          <w:rFonts w:hint="eastAsia"/>
          <w:color w:val="auto"/>
          <w:highlight w:val="none"/>
          <w:lang w:val="en-US" w:eastAsia="zh-CN"/>
        </w:rPr>
        <w:t xml:space="preserve"> 1.1.</w:t>
      </w:r>
      <w:r>
        <w:rPr>
          <w:rFonts w:hint="eastAsia" w:ascii="Times New Roman" w:hAnsi="Times New Roman" w:eastAsia="方正仿宋_GB2312" w:cs="Times New Roman"/>
          <w:color w:val="auto"/>
          <w:sz w:val="24"/>
          <w:highlight w:val="none"/>
        </w:rPr>
        <w:t>工时</w:t>
      </w:r>
    </w:p>
    <w:p w14:paraId="65BF8D2C">
      <w:pPr>
        <w:shd w:val="clear"/>
        <w:adjustRightInd w:val="0"/>
        <w:snapToGrid w:val="0"/>
        <w:spacing w:line="360" w:lineRule="auto"/>
        <w:ind w:firstLine="480" w:firstLineChars="200"/>
        <w:rPr>
          <w:rFonts w:hint="eastAsia"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1.2.</w:t>
      </w:r>
      <w:r>
        <w:rPr>
          <w:rFonts w:hint="eastAsia" w:ascii="Times New Roman" w:hAnsi="Times New Roman" w:eastAsia="方正仿宋_GB2312" w:cs="Times New Roman"/>
          <w:color w:val="auto"/>
          <w:sz w:val="24"/>
          <w:highlight w:val="none"/>
        </w:rPr>
        <w:t>常规备件（旧件需退回西门子医疗）</w:t>
      </w:r>
    </w:p>
    <w:p w14:paraId="194D03F9">
      <w:pPr>
        <w:shd w:val="clear"/>
        <w:adjustRightInd w:val="0"/>
        <w:snapToGrid w:val="0"/>
        <w:spacing w:line="360" w:lineRule="auto"/>
        <w:ind w:firstLine="480" w:firstLineChars="200"/>
        <w:rPr>
          <w:rFonts w:hint="eastAsia"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1.3.</w:t>
      </w:r>
      <w:r>
        <w:rPr>
          <w:rFonts w:hint="eastAsia" w:ascii="Times New Roman" w:hAnsi="Times New Roman" w:eastAsia="方正仿宋_GB2312" w:cs="Times New Roman"/>
          <w:color w:val="auto"/>
          <w:sz w:val="24"/>
          <w:highlight w:val="none"/>
        </w:rPr>
        <w:t xml:space="preserve">球管 (旧件需退回西门子医疗) </w:t>
      </w:r>
    </w:p>
    <w:p w14:paraId="56F23573">
      <w:pPr>
        <w:shd w:val="clear"/>
        <w:adjustRightInd w:val="0"/>
        <w:snapToGrid w:val="0"/>
        <w:spacing w:line="360" w:lineRule="auto"/>
        <w:ind w:firstLine="480" w:firstLineChars="200"/>
        <w:rPr>
          <w:rFonts w:hint="eastAsia"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1.4.</w:t>
      </w:r>
      <w:r>
        <w:rPr>
          <w:rFonts w:hint="eastAsia" w:ascii="Times New Roman" w:hAnsi="Times New Roman" w:eastAsia="方正仿宋_GB2312" w:cs="Times New Roman"/>
          <w:color w:val="auto"/>
          <w:sz w:val="24"/>
          <w:highlight w:val="none"/>
        </w:rPr>
        <w:t xml:space="preserve">平板探测器 (旧件需退回西门子医疗) </w:t>
      </w:r>
    </w:p>
    <w:p w14:paraId="36946C39">
      <w:pPr>
        <w:shd w:val="clear"/>
        <w:adjustRightInd w:val="0"/>
        <w:snapToGrid w:val="0"/>
        <w:spacing w:line="360" w:lineRule="auto"/>
        <w:ind w:firstLine="480" w:firstLineChars="200"/>
        <w:rPr>
          <w:rFonts w:hint="eastAsia"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1.5.</w:t>
      </w:r>
      <w:r>
        <w:rPr>
          <w:rFonts w:hint="eastAsia" w:ascii="Times New Roman" w:hAnsi="Times New Roman" w:eastAsia="方正仿宋_GB2312" w:cs="Times New Roman"/>
          <w:color w:val="auto"/>
          <w:sz w:val="24"/>
          <w:highlight w:val="none"/>
        </w:rPr>
        <w:t xml:space="preserve">高压油箱（旧件需退回西门子医疗） </w:t>
      </w:r>
    </w:p>
    <w:p w14:paraId="69C370A1">
      <w:pPr>
        <w:shd w:val="clear"/>
        <w:adjustRightInd w:val="0"/>
        <w:snapToGrid w:val="0"/>
        <w:spacing w:line="360" w:lineRule="auto"/>
        <w:ind w:firstLine="480" w:firstLineChars="200"/>
        <w:rPr>
          <w:rFonts w:hint="eastAsia"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1.6.</w:t>
      </w:r>
      <w:r>
        <w:rPr>
          <w:rFonts w:hint="eastAsia" w:ascii="Times New Roman" w:hAnsi="Times New Roman" w:eastAsia="方正仿宋_GB2312" w:cs="Times New Roman"/>
          <w:color w:val="auto"/>
          <w:sz w:val="24"/>
          <w:highlight w:val="none"/>
        </w:rPr>
        <w:t>预防性技术保养（每合同年度保养通过2次现场服务完成）</w:t>
      </w:r>
    </w:p>
    <w:p w14:paraId="47CA9E4B">
      <w:pPr>
        <w:shd w:val="clear"/>
        <w:adjustRightInd w:val="0"/>
        <w:snapToGrid w:val="0"/>
        <w:spacing w:line="360" w:lineRule="auto"/>
        <w:ind w:firstLine="480" w:firstLineChars="200"/>
        <w:rPr>
          <w:rFonts w:hint="eastAsia"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1.7.</w:t>
      </w:r>
      <w:r>
        <w:rPr>
          <w:rFonts w:hint="eastAsia" w:ascii="Times New Roman" w:hAnsi="Times New Roman" w:eastAsia="方正仿宋_GB2312" w:cs="Times New Roman"/>
          <w:color w:val="auto"/>
          <w:sz w:val="24"/>
          <w:highlight w:val="none"/>
        </w:rPr>
        <w:t>预防性技术保养耗材</w:t>
      </w:r>
    </w:p>
    <w:p w14:paraId="20577238">
      <w:pPr>
        <w:shd w:val="clear"/>
        <w:adjustRightInd w:val="0"/>
        <w:snapToGrid w:val="0"/>
        <w:spacing w:line="360" w:lineRule="auto"/>
        <w:ind w:firstLine="480" w:firstLineChars="200"/>
        <w:rPr>
          <w:rFonts w:hint="eastAsia"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1.8.</w:t>
      </w:r>
      <w:r>
        <w:rPr>
          <w:rFonts w:hint="eastAsia" w:ascii="Times New Roman" w:hAnsi="Times New Roman" w:eastAsia="方正仿宋_GB2312" w:cs="Times New Roman"/>
          <w:color w:val="auto"/>
          <w:sz w:val="24"/>
          <w:highlight w:val="none"/>
        </w:rPr>
        <w:t xml:space="preserve">保证开机率 95% </w:t>
      </w:r>
    </w:p>
    <w:p w14:paraId="3294D057">
      <w:pPr>
        <w:shd w:val="clear"/>
        <w:adjustRightInd w:val="0"/>
        <w:snapToGrid w:val="0"/>
        <w:spacing w:line="360" w:lineRule="auto"/>
        <w:ind w:firstLine="480" w:firstLineChars="200"/>
        <w:rPr>
          <w:rFonts w:hint="eastAsia"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1.9.</w:t>
      </w:r>
      <w:r>
        <w:rPr>
          <w:rFonts w:hint="eastAsia" w:ascii="Times New Roman" w:hAnsi="Times New Roman" w:eastAsia="方正仿宋_GB2312" w:cs="Times New Roman"/>
          <w:color w:val="auto"/>
          <w:sz w:val="24"/>
          <w:highlight w:val="none"/>
        </w:rPr>
        <w:t>安全检查</w:t>
      </w:r>
    </w:p>
    <w:p w14:paraId="51488F90">
      <w:pPr>
        <w:shd w:val="clear"/>
        <w:adjustRightInd w:val="0"/>
        <w:snapToGrid w:val="0"/>
        <w:spacing w:line="360" w:lineRule="auto"/>
        <w:ind w:firstLine="480" w:firstLineChars="200"/>
        <w:rPr>
          <w:rFonts w:hint="eastAsia"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1.10.</w:t>
      </w:r>
      <w:r>
        <w:rPr>
          <w:rFonts w:hint="eastAsia" w:ascii="Times New Roman" w:hAnsi="Times New Roman" w:eastAsia="方正仿宋_GB2312" w:cs="Times New Roman"/>
          <w:color w:val="auto"/>
          <w:sz w:val="24"/>
          <w:highlight w:val="none"/>
        </w:rPr>
        <w:t>质量保证</w:t>
      </w:r>
    </w:p>
    <w:p w14:paraId="63B54AB8">
      <w:pPr>
        <w:shd w:val="clear"/>
        <w:adjustRightInd w:val="0"/>
        <w:snapToGrid w:val="0"/>
        <w:spacing w:line="360" w:lineRule="auto"/>
        <w:ind w:firstLine="480" w:firstLineChars="200"/>
        <w:rPr>
          <w:rFonts w:hint="eastAsia"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1.11.</w:t>
      </w:r>
      <w:r>
        <w:rPr>
          <w:rFonts w:hint="eastAsia" w:ascii="Times New Roman" w:hAnsi="Times New Roman" w:eastAsia="方正仿宋_GB2312" w:cs="Times New Roman"/>
          <w:color w:val="auto"/>
          <w:sz w:val="24"/>
          <w:highlight w:val="none"/>
        </w:rPr>
        <w:t>安全升级</w:t>
      </w:r>
    </w:p>
    <w:p w14:paraId="234FFBDE">
      <w:pPr>
        <w:shd w:val="clear"/>
        <w:adjustRightInd w:val="0"/>
        <w:snapToGrid w:val="0"/>
        <w:spacing w:line="360" w:lineRule="auto"/>
        <w:ind w:firstLine="480" w:firstLineChars="200"/>
        <w:rPr>
          <w:rFonts w:hint="eastAsia"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1.12.</w:t>
      </w:r>
      <w:r>
        <w:rPr>
          <w:rFonts w:hint="eastAsia" w:ascii="Times New Roman" w:hAnsi="Times New Roman" w:eastAsia="方正仿宋_GB2312" w:cs="Times New Roman"/>
          <w:color w:val="auto"/>
          <w:sz w:val="24"/>
          <w:highlight w:val="none"/>
        </w:rPr>
        <w:t>24小时*365天技术电话支持</w:t>
      </w:r>
    </w:p>
    <w:p w14:paraId="51C1563E">
      <w:pPr>
        <w:shd w:val="clear"/>
        <w:adjustRightInd w:val="0"/>
        <w:snapToGrid w:val="0"/>
        <w:spacing w:line="360" w:lineRule="auto"/>
        <w:ind w:firstLine="480" w:firstLineChars="200"/>
        <w:rPr>
          <w:rFonts w:ascii="Times New Roman" w:hAnsi="Times New Roman" w:eastAsia="方正仿宋_GB2312" w:cs="Times New Roman"/>
          <w:color w:val="auto"/>
          <w:sz w:val="24"/>
          <w:highlight w:val="none"/>
        </w:rPr>
      </w:pPr>
      <w:r>
        <w:rPr>
          <w:rFonts w:hint="eastAsia" w:ascii="Times New Roman" w:hAnsi="Times New Roman" w:eastAsia="方正仿宋_GB2312" w:cs="Times New Roman"/>
          <w:color w:val="auto"/>
          <w:sz w:val="24"/>
          <w:highlight w:val="none"/>
        </w:rPr>
        <w:t></w:t>
      </w:r>
      <w:r>
        <w:rPr>
          <w:rFonts w:hint="eastAsia" w:ascii="Times New Roman" w:hAnsi="Times New Roman" w:eastAsia="方正仿宋_GB2312" w:cs="Times New Roman"/>
          <w:color w:val="auto"/>
          <w:sz w:val="24"/>
          <w:highlight w:val="none"/>
          <w:lang w:val="en-US" w:eastAsia="zh-CN"/>
        </w:rPr>
        <w:t>1.13.</w:t>
      </w:r>
      <w:r>
        <w:rPr>
          <w:rFonts w:hint="eastAsia" w:ascii="Times New Roman" w:hAnsi="Times New Roman" w:eastAsia="方正仿宋_GB2312" w:cs="Times New Roman"/>
          <w:color w:val="auto"/>
          <w:sz w:val="24"/>
          <w:highlight w:val="none"/>
        </w:rPr>
        <w:t>智在远程服务</w:t>
      </w:r>
    </w:p>
    <w:p w14:paraId="3F0A7070">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2、技术资料：</w:t>
      </w:r>
    </w:p>
    <w:p w14:paraId="650B033C">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3、技术培训：</w:t>
      </w:r>
    </w:p>
    <w:p w14:paraId="546BF30C">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3-1、培训内容：</w:t>
      </w:r>
    </w:p>
    <w:p w14:paraId="60EA35C5">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3-2、培训地点：</w:t>
      </w:r>
    </w:p>
    <w:p w14:paraId="6065F292">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3-3、培训时间：</w:t>
      </w:r>
    </w:p>
    <w:p w14:paraId="04ECF7F1">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3-4、培训人数：</w:t>
      </w:r>
    </w:p>
    <w:p w14:paraId="50F2EB8B">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3-5、培训费用：受训人员的食宿费、资料费、培训场地费、耗材（包括水电费等）费等已包含在合同总价中，甲方不再另行支付。</w:t>
      </w:r>
    </w:p>
    <w:p w14:paraId="3ADD3B08">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4、售后服务</w:t>
      </w:r>
    </w:p>
    <w:p w14:paraId="5836B3E8">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4-1、</w:t>
      </w:r>
      <w:r>
        <w:rPr>
          <w:rFonts w:hint="eastAsia" w:eastAsia="方正仿宋_GB2312"/>
          <w:color w:val="auto"/>
          <w:sz w:val="24"/>
          <w:highlight w:val="none"/>
        </w:rPr>
        <w:t>接到医院故障通知4小时内电话响应，工程师应在48小时内到达现场（包括节假日）</w:t>
      </w:r>
      <w:r>
        <w:rPr>
          <w:rFonts w:eastAsia="方正仿宋_GB2312"/>
          <w:color w:val="auto"/>
          <w:sz w:val="24"/>
          <w:highlight w:val="none"/>
        </w:rPr>
        <w:t>。</w:t>
      </w:r>
    </w:p>
    <w:p w14:paraId="770C5554">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4-2、如果乙方在收到通知后两天内没有弥补缺陷，甲方可采取必要的补救措施，但其风险和费用将由乙方承担，甲方根据合同规定对乙方行使的其它权力不受影响。</w:t>
      </w:r>
    </w:p>
    <w:p w14:paraId="05454820">
      <w:pPr>
        <w:shd w:val="clear"/>
        <w:adjustRightInd w:val="0"/>
        <w:snapToGrid w:val="0"/>
        <w:spacing w:line="360" w:lineRule="auto"/>
        <w:ind w:firstLine="482" w:firstLineChars="200"/>
        <w:rPr>
          <w:rFonts w:eastAsia="方正仿宋_GB2312"/>
          <w:b/>
          <w:bCs/>
          <w:color w:val="auto"/>
          <w:sz w:val="24"/>
          <w:highlight w:val="none"/>
        </w:rPr>
      </w:pPr>
      <w:bookmarkStart w:id="8" w:name="_Toc19515391"/>
      <w:r>
        <w:rPr>
          <w:rFonts w:eastAsia="方正仿宋_GB2312"/>
          <w:b/>
          <w:bCs/>
          <w:color w:val="auto"/>
          <w:sz w:val="24"/>
          <w:highlight w:val="none"/>
        </w:rPr>
        <w:t>六、验收</w:t>
      </w:r>
      <w:bookmarkEnd w:id="8"/>
    </w:p>
    <w:p w14:paraId="7DFB294B">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1、验收：乙方完成服务内容后，向甲方提出验收申请，甲方接到乙方验收申请后组织验收（必要时可聘请相应专家或委托相应部门验收），验收合格后，出具使用验收合格证明。</w:t>
      </w:r>
    </w:p>
    <w:p w14:paraId="74031673">
      <w:pPr>
        <w:shd w:val="clear"/>
        <w:adjustRightInd w:val="0"/>
        <w:snapToGrid w:val="0"/>
        <w:spacing w:line="360" w:lineRule="auto"/>
        <w:ind w:firstLine="480" w:firstLineChars="200"/>
        <w:rPr>
          <w:rFonts w:eastAsia="方正仿宋_GB2312"/>
          <w:color w:val="auto"/>
          <w:sz w:val="24"/>
          <w:highlight w:val="none"/>
        </w:rPr>
      </w:pPr>
      <w:r>
        <w:rPr>
          <w:rFonts w:hint="eastAsia" w:eastAsia="方正仿宋_GB2312"/>
          <w:color w:val="auto"/>
          <w:sz w:val="24"/>
          <w:highlight w:val="none"/>
        </w:rPr>
        <w:t>2</w:t>
      </w:r>
      <w:r>
        <w:rPr>
          <w:rFonts w:eastAsia="方正仿宋_GB2312"/>
          <w:color w:val="auto"/>
          <w:sz w:val="24"/>
          <w:highlight w:val="none"/>
        </w:rPr>
        <w:t>、最终验收：最终验收结果作为付款依据，乙方填写验收单，并向甲方提交实施过程中的所有资料，以便甲方日后管理和维护。</w:t>
      </w:r>
    </w:p>
    <w:p w14:paraId="07160198">
      <w:pPr>
        <w:shd w:val="clear"/>
        <w:adjustRightInd w:val="0"/>
        <w:snapToGrid w:val="0"/>
        <w:spacing w:line="360" w:lineRule="auto"/>
        <w:ind w:firstLine="480" w:firstLineChars="200"/>
        <w:rPr>
          <w:rFonts w:eastAsia="方正仿宋_GB2312"/>
          <w:color w:val="auto"/>
          <w:sz w:val="24"/>
          <w:highlight w:val="none"/>
        </w:rPr>
      </w:pPr>
      <w:r>
        <w:rPr>
          <w:rFonts w:hint="eastAsia" w:eastAsia="方正仿宋_GB2312"/>
          <w:color w:val="auto"/>
          <w:sz w:val="24"/>
          <w:highlight w:val="none"/>
        </w:rPr>
        <w:t>4</w:t>
      </w:r>
      <w:r>
        <w:rPr>
          <w:rFonts w:eastAsia="方正仿宋_GB2312"/>
          <w:color w:val="auto"/>
          <w:sz w:val="24"/>
          <w:highlight w:val="none"/>
        </w:rPr>
        <w:t>、验收依据：</w:t>
      </w:r>
    </w:p>
    <w:p w14:paraId="462F3B9D">
      <w:pPr>
        <w:shd w:val="clear"/>
        <w:adjustRightInd w:val="0"/>
        <w:snapToGrid w:val="0"/>
        <w:spacing w:line="360" w:lineRule="auto"/>
        <w:ind w:firstLine="480" w:firstLineChars="200"/>
        <w:rPr>
          <w:rFonts w:eastAsia="方正仿宋_GB2312"/>
          <w:color w:val="auto"/>
          <w:sz w:val="24"/>
          <w:highlight w:val="none"/>
        </w:rPr>
      </w:pPr>
      <w:r>
        <w:rPr>
          <w:rFonts w:hint="eastAsia" w:eastAsia="方正仿宋_GB2312"/>
          <w:color w:val="auto"/>
          <w:sz w:val="24"/>
          <w:highlight w:val="none"/>
        </w:rPr>
        <w:t>4</w:t>
      </w:r>
      <w:r>
        <w:rPr>
          <w:rFonts w:eastAsia="方正仿宋_GB2312"/>
          <w:color w:val="auto"/>
          <w:sz w:val="24"/>
          <w:highlight w:val="none"/>
        </w:rPr>
        <w:t>-1、合同文本、合同附件、</w:t>
      </w:r>
      <w:r>
        <w:rPr>
          <w:rFonts w:hint="eastAsia" w:eastAsia="方正仿宋_GB2312"/>
          <w:color w:val="auto"/>
          <w:sz w:val="24"/>
          <w:highlight w:val="none"/>
        </w:rPr>
        <w:t>单一来源采购文件</w:t>
      </w:r>
      <w:r>
        <w:rPr>
          <w:rFonts w:eastAsia="方正仿宋_GB2312"/>
          <w:color w:val="auto"/>
          <w:sz w:val="24"/>
          <w:highlight w:val="none"/>
        </w:rPr>
        <w:t>、</w:t>
      </w:r>
      <w:r>
        <w:rPr>
          <w:rFonts w:hint="eastAsia" w:eastAsia="方正仿宋_GB2312"/>
          <w:color w:val="auto"/>
          <w:sz w:val="24"/>
          <w:highlight w:val="none"/>
        </w:rPr>
        <w:t>成交供应商的响应文件</w:t>
      </w:r>
      <w:r>
        <w:rPr>
          <w:rFonts w:eastAsia="方正仿宋_GB2312"/>
          <w:color w:val="auto"/>
          <w:sz w:val="24"/>
          <w:highlight w:val="none"/>
        </w:rPr>
        <w:t>。</w:t>
      </w:r>
    </w:p>
    <w:p w14:paraId="63F3424D">
      <w:pPr>
        <w:shd w:val="clear"/>
        <w:adjustRightInd w:val="0"/>
        <w:snapToGrid w:val="0"/>
        <w:spacing w:line="360" w:lineRule="auto"/>
        <w:ind w:firstLine="480" w:firstLineChars="200"/>
        <w:rPr>
          <w:rFonts w:eastAsia="方正仿宋_GB2312"/>
          <w:color w:val="auto"/>
          <w:sz w:val="24"/>
          <w:highlight w:val="none"/>
        </w:rPr>
      </w:pPr>
      <w:r>
        <w:rPr>
          <w:rFonts w:hint="eastAsia" w:eastAsia="方正仿宋_GB2312"/>
          <w:color w:val="auto"/>
          <w:sz w:val="24"/>
          <w:highlight w:val="none"/>
        </w:rPr>
        <w:t>4</w:t>
      </w:r>
      <w:r>
        <w:rPr>
          <w:rFonts w:eastAsia="方正仿宋_GB2312"/>
          <w:color w:val="auto"/>
          <w:sz w:val="24"/>
          <w:highlight w:val="none"/>
        </w:rPr>
        <w:t>-2、国内相应的标准、规范。</w:t>
      </w:r>
    </w:p>
    <w:p w14:paraId="00A0188A">
      <w:pPr>
        <w:shd w:val="clear"/>
        <w:adjustRightInd w:val="0"/>
        <w:snapToGrid w:val="0"/>
        <w:spacing w:line="360" w:lineRule="auto"/>
        <w:ind w:firstLine="482" w:firstLineChars="200"/>
        <w:rPr>
          <w:rFonts w:eastAsia="方正仿宋_GB2312"/>
          <w:b/>
          <w:bCs/>
          <w:color w:val="auto"/>
          <w:sz w:val="24"/>
          <w:highlight w:val="none"/>
        </w:rPr>
      </w:pPr>
      <w:bookmarkStart w:id="9" w:name="_Toc19515392"/>
      <w:r>
        <w:rPr>
          <w:rFonts w:hint="eastAsia" w:eastAsia="方正仿宋_GB2312"/>
          <w:b/>
          <w:bCs/>
          <w:color w:val="auto"/>
          <w:sz w:val="24"/>
          <w:highlight w:val="none"/>
          <w:lang w:val="en-US" w:eastAsia="zh-CN"/>
        </w:rPr>
        <w:t>七</w:t>
      </w:r>
      <w:r>
        <w:rPr>
          <w:rFonts w:eastAsia="方正仿宋_GB2312"/>
          <w:b/>
          <w:bCs/>
          <w:color w:val="auto"/>
          <w:sz w:val="24"/>
          <w:highlight w:val="none"/>
        </w:rPr>
        <w:t>、违约责任</w:t>
      </w:r>
      <w:bookmarkEnd w:id="9"/>
    </w:p>
    <w:p w14:paraId="69F0473A">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1、按《中华人民共和国民法典》中的相关条款执行。</w:t>
      </w:r>
    </w:p>
    <w:p w14:paraId="56A853C9">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2、乙方履约延误</w:t>
      </w:r>
    </w:p>
    <w:p w14:paraId="228793DA">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2-1、如乙方事先未征得甲方同意并得到甲方的谅解而单方面延迟执行合同，将按违约终止合同。</w:t>
      </w:r>
    </w:p>
    <w:p w14:paraId="7AC5104C">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4C2CEC11">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3、违约终止合同：未按合同要求提供服务或不能满足技术要求，甲方会同监督机构有权终止合同，对乙方违约行为进行追究，同时按政府采购法的有关规定进行相应的处罚。</w:t>
      </w:r>
    </w:p>
    <w:p w14:paraId="62F09EDC">
      <w:pPr>
        <w:shd w:val="clear"/>
        <w:adjustRightInd w:val="0"/>
        <w:snapToGrid w:val="0"/>
        <w:spacing w:line="360" w:lineRule="auto"/>
        <w:ind w:firstLine="482" w:firstLineChars="200"/>
        <w:rPr>
          <w:rFonts w:eastAsia="方正仿宋_GB2312"/>
          <w:b/>
          <w:bCs/>
          <w:color w:val="auto"/>
          <w:sz w:val="24"/>
          <w:highlight w:val="none"/>
        </w:rPr>
      </w:pPr>
      <w:bookmarkStart w:id="10" w:name="_Toc19515393"/>
      <w:r>
        <w:rPr>
          <w:rFonts w:hint="eastAsia" w:eastAsia="方正仿宋_GB2312"/>
          <w:b/>
          <w:bCs/>
          <w:color w:val="auto"/>
          <w:sz w:val="24"/>
          <w:highlight w:val="none"/>
          <w:lang w:val="en-US" w:eastAsia="zh-CN"/>
        </w:rPr>
        <w:t>八</w:t>
      </w:r>
      <w:r>
        <w:rPr>
          <w:rFonts w:eastAsia="方正仿宋_GB2312"/>
          <w:b/>
          <w:bCs/>
          <w:color w:val="auto"/>
          <w:sz w:val="24"/>
          <w:highlight w:val="none"/>
        </w:rPr>
        <w:t>、合同组成</w:t>
      </w:r>
      <w:bookmarkEnd w:id="10"/>
    </w:p>
    <w:p w14:paraId="44A45F06">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1、</w:t>
      </w:r>
      <w:r>
        <w:rPr>
          <w:rFonts w:hint="eastAsia" w:eastAsia="方正仿宋_GB2312"/>
          <w:color w:val="auto"/>
          <w:sz w:val="24"/>
          <w:highlight w:val="none"/>
        </w:rPr>
        <w:t>成交</w:t>
      </w:r>
      <w:r>
        <w:rPr>
          <w:rFonts w:eastAsia="方正仿宋_GB2312"/>
          <w:color w:val="auto"/>
          <w:sz w:val="24"/>
          <w:highlight w:val="none"/>
        </w:rPr>
        <w:t>通知书</w:t>
      </w:r>
    </w:p>
    <w:p w14:paraId="223C3650">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2、合同文件</w:t>
      </w:r>
    </w:p>
    <w:p w14:paraId="28CA1CAE">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3、国家相关规范及标准</w:t>
      </w:r>
    </w:p>
    <w:p w14:paraId="3F3FDCD2">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4、</w:t>
      </w:r>
      <w:r>
        <w:rPr>
          <w:rFonts w:hint="eastAsia" w:eastAsia="方正仿宋_GB2312"/>
          <w:color w:val="auto"/>
          <w:sz w:val="24"/>
          <w:highlight w:val="none"/>
        </w:rPr>
        <w:t>单一来源采购文件</w:t>
      </w:r>
    </w:p>
    <w:p w14:paraId="742BDD66">
      <w:pPr>
        <w:shd w:val="clear"/>
        <w:adjustRightInd w:val="0"/>
        <w:snapToGrid w:val="0"/>
        <w:spacing w:line="360" w:lineRule="auto"/>
        <w:ind w:firstLine="480" w:firstLineChars="200"/>
        <w:rPr>
          <w:rFonts w:eastAsia="方正仿宋_GB2312"/>
          <w:color w:val="auto"/>
          <w:sz w:val="24"/>
          <w:highlight w:val="none"/>
        </w:rPr>
      </w:pPr>
      <w:r>
        <w:rPr>
          <w:rFonts w:eastAsia="方正仿宋_GB2312"/>
          <w:color w:val="auto"/>
          <w:sz w:val="24"/>
          <w:highlight w:val="none"/>
        </w:rPr>
        <w:t>5、</w:t>
      </w:r>
      <w:r>
        <w:rPr>
          <w:rFonts w:hint="eastAsia" w:eastAsia="方正仿宋_GB2312"/>
          <w:color w:val="auto"/>
          <w:sz w:val="24"/>
          <w:highlight w:val="none"/>
        </w:rPr>
        <w:t>成交供应商的响应</w:t>
      </w:r>
      <w:r>
        <w:rPr>
          <w:rFonts w:eastAsia="方正仿宋_GB2312"/>
          <w:color w:val="auto"/>
          <w:sz w:val="24"/>
          <w:highlight w:val="none"/>
        </w:rPr>
        <w:t>文件</w:t>
      </w:r>
    </w:p>
    <w:p w14:paraId="204282C6">
      <w:pPr>
        <w:shd w:val="clear"/>
        <w:adjustRightInd w:val="0"/>
        <w:snapToGrid w:val="0"/>
        <w:spacing w:line="360" w:lineRule="auto"/>
        <w:ind w:firstLine="482" w:firstLineChars="200"/>
        <w:rPr>
          <w:rFonts w:eastAsia="方正仿宋_GB2312"/>
          <w:b/>
          <w:bCs/>
          <w:color w:val="auto"/>
          <w:sz w:val="24"/>
          <w:highlight w:val="none"/>
        </w:rPr>
      </w:pPr>
      <w:bookmarkStart w:id="11" w:name="_Toc19515394"/>
      <w:r>
        <w:rPr>
          <w:rFonts w:hint="eastAsia" w:eastAsia="方正仿宋_GB2312"/>
          <w:b/>
          <w:bCs/>
          <w:color w:val="auto"/>
          <w:sz w:val="24"/>
          <w:highlight w:val="none"/>
          <w:lang w:val="en-US" w:eastAsia="zh-CN"/>
        </w:rPr>
        <w:t>九</w:t>
      </w:r>
      <w:r>
        <w:rPr>
          <w:rFonts w:eastAsia="方正仿宋_GB2312"/>
          <w:b/>
          <w:bCs/>
          <w:color w:val="auto"/>
          <w:sz w:val="24"/>
          <w:highlight w:val="none"/>
        </w:rPr>
        <w:t>、解决争议的方法</w:t>
      </w:r>
      <w:bookmarkEnd w:id="11"/>
    </w:p>
    <w:p w14:paraId="65BD7149">
      <w:pPr>
        <w:widowControl/>
        <w:shd w:val="clear"/>
        <w:autoSpaceDE w:val="0"/>
        <w:autoSpaceDN w:val="0"/>
        <w:snapToGrid w:val="0"/>
        <w:spacing w:line="360" w:lineRule="auto"/>
        <w:ind w:right="-110" w:firstLine="480" w:firstLineChars="200"/>
        <w:textAlignment w:val="bottom"/>
        <w:rPr>
          <w:rFonts w:eastAsia="方正仿宋_GB2312"/>
          <w:color w:val="auto"/>
          <w:kern w:val="0"/>
          <w:sz w:val="24"/>
          <w:highlight w:val="none"/>
        </w:rPr>
      </w:pPr>
      <w:r>
        <w:rPr>
          <w:rFonts w:eastAsia="方正仿宋_GB2312"/>
          <w:color w:val="auto"/>
          <w:kern w:val="0"/>
          <w:sz w:val="24"/>
          <w:highlight w:val="none"/>
        </w:rPr>
        <w:t>凡因本合同引起的或与本合同有关的争议，双方应友好协商解决。协商不成时，双方均同意采用以下第（  ）种争议解决方式：</w:t>
      </w:r>
    </w:p>
    <w:p w14:paraId="6B1EA9EE">
      <w:pPr>
        <w:widowControl/>
        <w:shd w:val="clear"/>
        <w:autoSpaceDE w:val="0"/>
        <w:autoSpaceDN w:val="0"/>
        <w:snapToGrid w:val="0"/>
        <w:spacing w:line="360" w:lineRule="auto"/>
        <w:ind w:right="-110" w:firstLine="480" w:firstLineChars="200"/>
        <w:textAlignment w:val="bottom"/>
        <w:rPr>
          <w:rFonts w:eastAsia="方正仿宋_GB2312"/>
          <w:color w:val="auto"/>
          <w:kern w:val="0"/>
          <w:sz w:val="24"/>
          <w:highlight w:val="none"/>
        </w:rPr>
      </w:pPr>
      <w:r>
        <w:rPr>
          <w:rFonts w:eastAsia="方正仿宋_GB2312"/>
          <w:color w:val="auto"/>
          <w:kern w:val="0"/>
          <w:sz w:val="24"/>
          <w:highlight w:val="none"/>
        </w:rPr>
        <w:t>1、甲、乙双方均同意向（甲方所在地人民法院）提起诉讼。</w:t>
      </w:r>
    </w:p>
    <w:p w14:paraId="42009B1A">
      <w:pPr>
        <w:widowControl/>
        <w:shd w:val="clear"/>
        <w:autoSpaceDE w:val="0"/>
        <w:autoSpaceDN w:val="0"/>
        <w:snapToGrid w:val="0"/>
        <w:spacing w:line="360" w:lineRule="auto"/>
        <w:ind w:right="-110" w:firstLine="480" w:firstLineChars="200"/>
        <w:textAlignment w:val="bottom"/>
        <w:rPr>
          <w:rFonts w:eastAsia="方正仿宋_GB2312"/>
          <w:color w:val="auto"/>
          <w:kern w:val="0"/>
          <w:sz w:val="24"/>
          <w:highlight w:val="none"/>
        </w:rPr>
      </w:pPr>
      <w:r>
        <w:rPr>
          <w:rFonts w:eastAsia="方正仿宋_GB2312"/>
          <w:color w:val="auto"/>
          <w:kern w:val="0"/>
          <w:sz w:val="24"/>
          <w:highlight w:val="none"/>
        </w:rPr>
        <w:t>2、甲、乙双方均同意向（</w:t>
      </w:r>
      <w:r>
        <w:rPr>
          <w:color w:val="auto"/>
          <w:highlight w:val="none"/>
        </w:rPr>
        <w:fldChar w:fldCharType="begin"/>
      </w:r>
      <w:r>
        <w:rPr>
          <w:color w:val="auto"/>
          <w:highlight w:val="none"/>
        </w:rPr>
        <w:instrText xml:space="preserve"> HYPERLINK "http://www.baidu.com/s?wd=%E4%BB%B2%E8%A3%81%E5%A7%94%E5%91%98%E4%BC%9A&amp;tn=SE_PcZhidaonwhc_ngpagmjz&amp;rsv_dl=gh_pc_zhidao" \t "_blank" </w:instrText>
      </w:r>
      <w:r>
        <w:rPr>
          <w:color w:val="auto"/>
          <w:highlight w:val="none"/>
        </w:rPr>
        <w:fldChar w:fldCharType="separate"/>
      </w:r>
      <w:r>
        <w:rPr>
          <w:rFonts w:eastAsia="方正仿宋_GB2312"/>
          <w:color w:val="auto"/>
          <w:kern w:val="0"/>
          <w:sz w:val="24"/>
          <w:highlight w:val="none"/>
        </w:rPr>
        <w:t>仲裁委员会</w:t>
      </w:r>
      <w:r>
        <w:rPr>
          <w:rFonts w:eastAsia="方正仿宋_GB2312"/>
          <w:color w:val="auto"/>
          <w:kern w:val="0"/>
          <w:sz w:val="24"/>
          <w:highlight w:val="none"/>
        </w:rPr>
        <w:fldChar w:fldCharType="end"/>
      </w:r>
      <w:r>
        <w:rPr>
          <w:rFonts w:eastAsia="方正仿宋_GB2312"/>
          <w:color w:val="auto"/>
          <w:kern w:val="0"/>
          <w:sz w:val="24"/>
          <w:highlight w:val="none"/>
        </w:rPr>
        <w:t>）提起仲裁。</w:t>
      </w:r>
    </w:p>
    <w:p w14:paraId="7705617F">
      <w:pPr>
        <w:shd w:val="clear"/>
        <w:adjustRightInd w:val="0"/>
        <w:snapToGrid w:val="0"/>
        <w:spacing w:line="360" w:lineRule="auto"/>
        <w:ind w:firstLine="482" w:firstLineChars="200"/>
        <w:rPr>
          <w:rFonts w:eastAsia="方正仿宋_GB2312"/>
          <w:b/>
          <w:bCs/>
          <w:color w:val="auto"/>
          <w:sz w:val="24"/>
          <w:highlight w:val="none"/>
        </w:rPr>
      </w:pPr>
      <w:bookmarkStart w:id="12" w:name="_Toc19515395"/>
      <w:r>
        <w:rPr>
          <w:rFonts w:eastAsia="方正仿宋_GB2312"/>
          <w:b/>
          <w:bCs/>
          <w:color w:val="auto"/>
          <w:sz w:val="24"/>
          <w:highlight w:val="none"/>
        </w:rPr>
        <w:t>十、合同生效及其它</w:t>
      </w:r>
      <w:bookmarkEnd w:id="12"/>
    </w:p>
    <w:p w14:paraId="70479BF3">
      <w:pPr>
        <w:widowControl/>
        <w:shd w:val="clear"/>
        <w:autoSpaceDE w:val="0"/>
        <w:autoSpaceDN w:val="0"/>
        <w:snapToGrid w:val="0"/>
        <w:spacing w:line="360" w:lineRule="auto"/>
        <w:ind w:right="-110" w:firstLine="480" w:firstLineChars="200"/>
        <w:textAlignment w:val="bottom"/>
        <w:rPr>
          <w:rFonts w:eastAsia="方正仿宋_GB2312"/>
          <w:color w:val="auto"/>
          <w:kern w:val="0"/>
          <w:sz w:val="24"/>
          <w:highlight w:val="none"/>
        </w:rPr>
      </w:pPr>
      <w:r>
        <w:rPr>
          <w:rFonts w:eastAsia="方正仿宋_GB2312"/>
          <w:color w:val="auto"/>
          <w:kern w:val="0"/>
          <w:sz w:val="24"/>
          <w:highlight w:val="none"/>
        </w:rPr>
        <w:t>1、合同未尽事宜、由甲、乙双方协商，作为合同补充，与原合同具有同等法律效力。</w:t>
      </w:r>
    </w:p>
    <w:p w14:paraId="27EA0309">
      <w:pPr>
        <w:widowControl/>
        <w:shd w:val="clear"/>
        <w:tabs>
          <w:tab w:val="left" w:pos="8391"/>
        </w:tabs>
        <w:autoSpaceDE w:val="0"/>
        <w:autoSpaceDN w:val="0"/>
        <w:snapToGrid w:val="0"/>
        <w:spacing w:line="360" w:lineRule="auto"/>
        <w:ind w:right="-69" w:firstLine="480" w:firstLineChars="200"/>
        <w:textAlignment w:val="bottom"/>
        <w:rPr>
          <w:rFonts w:eastAsia="方正仿宋_GB2312"/>
          <w:color w:val="auto"/>
          <w:kern w:val="0"/>
          <w:sz w:val="24"/>
          <w:highlight w:val="none"/>
        </w:rPr>
      </w:pPr>
      <w:r>
        <w:rPr>
          <w:rFonts w:eastAsia="方正仿宋_GB2312"/>
          <w:color w:val="auto"/>
          <w:kern w:val="0"/>
          <w:sz w:val="24"/>
          <w:highlight w:val="none"/>
        </w:rPr>
        <w:t>2、 本合同正本一式</w:t>
      </w:r>
      <w:r>
        <w:rPr>
          <w:rFonts w:eastAsia="方正仿宋_GB2312"/>
          <w:color w:val="auto"/>
          <w:kern w:val="0"/>
          <w:sz w:val="24"/>
          <w:highlight w:val="none"/>
          <w:u w:val="single"/>
        </w:rPr>
        <w:t xml:space="preserve">  </w:t>
      </w:r>
      <w:r>
        <w:rPr>
          <w:rFonts w:eastAsia="方正仿宋_GB2312"/>
          <w:color w:val="auto"/>
          <w:kern w:val="0"/>
          <w:sz w:val="24"/>
          <w:highlight w:val="none"/>
        </w:rPr>
        <w:t>份，甲方、乙方双方分别执</w:t>
      </w:r>
      <w:r>
        <w:rPr>
          <w:rFonts w:eastAsia="方正仿宋_GB2312"/>
          <w:color w:val="auto"/>
          <w:kern w:val="0"/>
          <w:sz w:val="24"/>
          <w:highlight w:val="none"/>
          <w:u w:val="single"/>
        </w:rPr>
        <w:t xml:space="preserve">  </w:t>
      </w:r>
      <w:r>
        <w:rPr>
          <w:rFonts w:eastAsia="方正仿宋_GB2312"/>
          <w:color w:val="auto"/>
          <w:kern w:val="0"/>
          <w:sz w:val="24"/>
          <w:highlight w:val="none"/>
        </w:rPr>
        <w:t>份，</w:t>
      </w:r>
      <w:r>
        <w:rPr>
          <w:rFonts w:eastAsia="方正仿宋_GB2312"/>
          <w:color w:val="auto"/>
          <w:kern w:val="0"/>
          <w:sz w:val="24"/>
          <w:highlight w:val="none"/>
          <w:u w:val="single"/>
        </w:rPr>
        <w:t xml:space="preserve">       </w:t>
      </w:r>
      <w:r>
        <w:rPr>
          <w:rFonts w:eastAsia="方正仿宋_GB2312"/>
          <w:color w:val="auto"/>
          <w:kern w:val="0"/>
          <w:sz w:val="24"/>
          <w:highlight w:val="none"/>
        </w:rPr>
        <w:t>备案</w:t>
      </w:r>
      <w:r>
        <w:rPr>
          <w:rFonts w:eastAsia="方正仿宋_GB2312"/>
          <w:color w:val="auto"/>
          <w:kern w:val="0"/>
          <w:sz w:val="24"/>
          <w:highlight w:val="none"/>
          <w:u w:val="single"/>
        </w:rPr>
        <w:t xml:space="preserve">  </w:t>
      </w:r>
      <w:r>
        <w:rPr>
          <w:rFonts w:eastAsia="方正仿宋_GB2312"/>
          <w:color w:val="auto"/>
          <w:kern w:val="0"/>
          <w:sz w:val="24"/>
          <w:highlight w:val="none"/>
        </w:rPr>
        <w:t>份。</w:t>
      </w:r>
    </w:p>
    <w:p w14:paraId="0011B2B1">
      <w:pPr>
        <w:widowControl/>
        <w:shd w:val="clear"/>
        <w:tabs>
          <w:tab w:val="left" w:pos="8391"/>
        </w:tabs>
        <w:autoSpaceDE w:val="0"/>
        <w:autoSpaceDN w:val="0"/>
        <w:snapToGrid w:val="0"/>
        <w:spacing w:line="360" w:lineRule="auto"/>
        <w:ind w:right="-69" w:firstLine="480" w:firstLineChars="200"/>
        <w:textAlignment w:val="bottom"/>
        <w:rPr>
          <w:rFonts w:eastAsia="方正仿宋_GB2312"/>
          <w:color w:val="auto"/>
          <w:kern w:val="0"/>
          <w:sz w:val="24"/>
          <w:highlight w:val="none"/>
        </w:rPr>
      </w:pPr>
      <w:r>
        <w:rPr>
          <w:rFonts w:eastAsia="方正仿宋_GB2312"/>
          <w:color w:val="auto"/>
          <w:kern w:val="0"/>
          <w:sz w:val="24"/>
          <w:highlight w:val="none"/>
        </w:rPr>
        <w:t>3、合同经甲乙双方盖章、签字后生效，合同签订地点为</w:t>
      </w:r>
      <w:r>
        <w:rPr>
          <w:rFonts w:eastAsia="方正仿宋_GB2312"/>
          <w:color w:val="auto"/>
          <w:kern w:val="0"/>
          <w:sz w:val="24"/>
          <w:highlight w:val="none"/>
          <w:u w:val="single"/>
        </w:rPr>
        <w:t xml:space="preserve">   </w:t>
      </w:r>
      <w:r>
        <w:rPr>
          <w:rFonts w:eastAsia="方正仿宋_GB2312"/>
          <w:color w:val="auto"/>
          <w:kern w:val="0"/>
          <w:sz w:val="24"/>
          <w:highlight w:val="none"/>
        </w:rPr>
        <w:t>。</w:t>
      </w:r>
    </w:p>
    <w:p w14:paraId="192AD223">
      <w:pPr>
        <w:widowControl/>
        <w:shd w:val="clear"/>
        <w:tabs>
          <w:tab w:val="left" w:pos="8391"/>
        </w:tabs>
        <w:autoSpaceDE w:val="0"/>
        <w:autoSpaceDN w:val="0"/>
        <w:snapToGrid w:val="0"/>
        <w:spacing w:line="360" w:lineRule="auto"/>
        <w:ind w:right="-69" w:firstLine="480" w:firstLineChars="200"/>
        <w:textAlignment w:val="bottom"/>
        <w:rPr>
          <w:rFonts w:eastAsia="方正仿宋_GB2312"/>
          <w:color w:val="auto"/>
          <w:kern w:val="0"/>
          <w:sz w:val="24"/>
          <w:highlight w:val="none"/>
        </w:rPr>
      </w:pPr>
      <w:r>
        <w:rPr>
          <w:rFonts w:eastAsia="方正仿宋_GB2312"/>
          <w:color w:val="auto"/>
          <w:kern w:val="0"/>
          <w:sz w:val="24"/>
          <w:highlight w:val="none"/>
        </w:rPr>
        <w:t>4、生效时间：</w:t>
      </w:r>
      <w:r>
        <w:rPr>
          <w:rFonts w:eastAsia="方正仿宋_GB2312"/>
          <w:color w:val="auto"/>
          <w:kern w:val="0"/>
          <w:sz w:val="24"/>
          <w:highlight w:val="none"/>
          <w:u w:val="single"/>
        </w:rPr>
        <w:t xml:space="preserve">   </w:t>
      </w:r>
      <w:r>
        <w:rPr>
          <w:rFonts w:eastAsia="方正仿宋_GB2312"/>
          <w:color w:val="auto"/>
          <w:kern w:val="0"/>
          <w:sz w:val="24"/>
          <w:highlight w:val="none"/>
        </w:rPr>
        <w:t>年</w:t>
      </w:r>
      <w:r>
        <w:rPr>
          <w:rFonts w:eastAsia="方正仿宋_GB2312"/>
          <w:color w:val="auto"/>
          <w:kern w:val="0"/>
          <w:sz w:val="24"/>
          <w:highlight w:val="none"/>
          <w:u w:val="single"/>
        </w:rPr>
        <w:t xml:space="preserve"> </w:t>
      </w:r>
      <w:r>
        <w:rPr>
          <w:rFonts w:hint="eastAsia" w:eastAsia="方正仿宋_GB2312"/>
          <w:color w:val="auto"/>
          <w:kern w:val="0"/>
          <w:sz w:val="24"/>
          <w:highlight w:val="none"/>
          <w:u w:val="single"/>
          <w:lang w:val="en-US" w:eastAsia="zh-CN"/>
        </w:rPr>
        <w:t xml:space="preserve"> </w:t>
      </w:r>
      <w:r>
        <w:rPr>
          <w:rFonts w:eastAsia="方正仿宋_GB2312"/>
          <w:color w:val="auto"/>
          <w:kern w:val="0"/>
          <w:sz w:val="24"/>
          <w:highlight w:val="none"/>
          <w:u w:val="single"/>
        </w:rPr>
        <w:t xml:space="preserve"> </w:t>
      </w:r>
      <w:r>
        <w:rPr>
          <w:rFonts w:eastAsia="方正仿宋_GB2312"/>
          <w:color w:val="auto"/>
          <w:kern w:val="0"/>
          <w:sz w:val="24"/>
          <w:highlight w:val="none"/>
        </w:rPr>
        <w:t>月</w:t>
      </w:r>
      <w:r>
        <w:rPr>
          <w:rFonts w:eastAsia="方正仿宋_GB2312"/>
          <w:color w:val="auto"/>
          <w:kern w:val="0"/>
          <w:sz w:val="24"/>
          <w:highlight w:val="none"/>
          <w:u w:val="single"/>
        </w:rPr>
        <w:t xml:space="preserve"> </w:t>
      </w:r>
      <w:r>
        <w:rPr>
          <w:rFonts w:hint="eastAsia" w:eastAsia="方正仿宋_GB2312"/>
          <w:color w:val="auto"/>
          <w:kern w:val="0"/>
          <w:sz w:val="24"/>
          <w:highlight w:val="none"/>
          <w:u w:val="single"/>
          <w:lang w:val="en-US" w:eastAsia="zh-CN"/>
        </w:rPr>
        <w:t xml:space="preserve"> </w:t>
      </w:r>
      <w:r>
        <w:rPr>
          <w:rFonts w:eastAsia="方正仿宋_GB2312"/>
          <w:color w:val="auto"/>
          <w:kern w:val="0"/>
          <w:sz w:val="24"/>
          <w:highlight w:val="none"/>
          <w:u w:val="single"/>
        </w:rPr>
        <w:t xml:space="preserve"> </w:t>
      </w:r>
      <w:r>
        <w:rPr>
          <w:rFonts w:eastAsia="方正仿宋_GB2312"/>
          <w:color w:val="auto"/>
          <w:kern w:val="0"/>
          <w:sz w:val="24"/>
          <w:highlight w:val="none"/>
        </w:rPr>
        <w:t>日</w:t>
      </w:r>
    </w:p>
    <w:p w14:paraId="172DD0B4">
      <w:pPr>
        <w:widowControl/>
        <w:shd w:val="clear"/>
        <w:tabs>
          <w:tab w:val="left" w:pos="8391"/>
        </w:tabs>
        <w:autoSpaceDE w:val="0"/>
        <w:autoSpaceDN w:val="0"/>
        <w:snapToGrid w:val="0"/>
        <w:spacing w:line="360" w:lineRule="auto"/>
        <w:ind w:right="-69" w:firstLine="840" w:firstLineChars="350"/>
        <w:textAlignment w:val="bottom"/>
        <w:rPr>
          <w:rFonts w:eastAsia="方正仿宋_GB2312"/>
          <w:color w:val="auto"/>
          <w:kern w:val="0"/>
          <w:sz w:val="24"/>
          <w:highlight w:val="none"/>
        </w:rPr>
      </w:pPr>
    </w:p>
    <w:tbl>
      <w:tblPr>
        <w:tblStyle w:val="10"/>
        <w:tblW w:w="0" w:type="auto"/>
        <w:jc w:val="center"/>
        <w:tblLayout w:type="fixed"/>
        <w:tblCellMar>
          <w:top w:w="0" w:type="dxa"/>
          <w:left w:w="108" w:type="dxa"/>
          <w:bottom w:w="0" w:type="dxa"/>
          <w:right w:w="108" w:type="dxa"/>
        </w:tblCellMar>
      </w:tblPr>
      <w:tblGrid>
        <w:gridCol w:w="4643"/>
        <w:gridCol w:w="4643"/>
      </w:tblGrid>
      <w:tr w14:paraId="67F56E77">
        <w:tblPrEx>
          <w:tblCellMar>
            <w:top w:w="0" w:type="dxa"/>
            <w:left w:w="108" w:type="dxa"/>
            <w:bottom w:w="0" w:type="dxa"/>
            <w:right w:w="108" w:type="dxa"/>
          </w:tblCellMar>
        </w:tblPrEx>
        <w:trPr>
          <w:jc w:val="center"/>
        </w:trPr>
        <w:tc>
          <w:tcPr>
            <w:tcW w:w="4643" w:type="dxa"/>
          </w:tcPr>
          <w:p w14:paraId="5A3239B9">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甲方名称</w:t>
            </w:r>
            <w:r>
              <w:rPr>
                <w:rFonts w:eastAsia="方正仿宋_GB2312"/>
                <w:color w:val="auto"/>
                <w:spacing w:val="-20"/>
                <w:kern w:val="0"/>
                <w:sz w:val="24"/>
                <w:highlight w:val="none"/>
              </w:rPr>
              <w:t>（盖章）</w:t>
            </w:r>
            <w:r>
              <w:rPr>
                <w:rFonts w:eastAsia="方正仿宋_GB2312"/>
                <w:color w:val="auto"/>
                <w:kern w:val="0"/>
                <w:sz w:val="24"/>
                <w:highlight w:val="none"/>
              </w:rPr>
              <w:t>:</w:t>
            </w:r>
          </w:p>
          <w:p w14:paraId="0237B345">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地址：</w:t>
            </w:r>
          </w:p>
          <w:p w14:paraId="4F1634ED">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代表人（签字）：</w:t>
            </w:r>
          </w:p>
          <w:p w14:paraId="1E3FC745">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电话：</w:t>
            </w:r>
          </w:p>
          <w:p w14:paraId="629C0AA6">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开户银行：</w:t>
            </w:r>
          </w:p>
          <w:p w14:paraId="5D3FE87F">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账号：</w:t>
            </w:r>
          </w:p>
        </w:tc>
        <w:tc>
          <w:tcPr>
            <w:tcW w:w="4643" w:type="dxa"/>
          </w:tcPr>
          <w:p w14:paraId="39C4E5FD">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乙方名称</w:t>
            </w:r>
            <w:r>
              <w:rPr>
                <w:rFonts w:eastAsia="方正仿宋_GB2312"/>
                <w:color w:val="auto"/>
                <w:spacing w:val="-20"/>
                <w:kern w:val="0"/>
                <w:sz w:val="24"/>
                <w:highlight w:val="none"/>
              </w:rPr>
              <w:t>（盖章）</w:t>
            </w:r>
            <w:r>
              <w:rPr>
                <w:rFonts w:eastAsia="方正仿宋_GB2312"/>
                <w:color w:val="auto"/>
                <w:kern w:val="0"/>
                <w:sz w:val="24"/>
                <w:highlight w:val="none"/>
              </w:rPr>
              <w:t>:</w:t>
            </w:r>
          </w:p>
          <w:p w14:paraId="1DFFA6A6">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地址：</w:t>
            </w:r>
          </w:p>
          <w:p w14:paraId="06496783">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代表人（签字）：</w:t>
            </w:r>
          </w:p>
          <w:p w14:paraId="71AAC756">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电话：</w:t>
            </w:r>
          </w:p>
          <w:p w14:paraId="04E24FA5">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开户银行：</w:t>
            </w:r>
          </w:p>
          <w:p w14:paraId="0EF96BB2">
            <w:pPr>
              <w:widowControl/>
              <w:shd w:val="clear"/>
              <w:autoSpaceDE w:val="0"/>
              <w:autoSpaceDN w:val="0"/>
              <w:snapToGrid w:val="0"/>
              <w:spacing w:line="360" w:lineRule="auto"/>
              <w:ind w:right="-154"/>
              <w:textAlignment w:val="bottom"/>
              <w:rPr>
                <w:rFonts w:eastAsia="方正仿宋_GB2312"/>
                <w:color w:val="auto"/>
                <w:kern w:val="0"/>
                <w:sz w:val="24"/>
                <w:highlight w:val="none"/>
              </w:rPr>
            </w:pPr>
            <w:r>
              <w:rPr>
                <w:rFonts w:eastAsia="方正仿宋_GB2312"/>
                <w:color w:val="auto"/>
                <w:kern w:val="0"/>
                <w:sz w:val="24"/>
                <w:highlight w:val="none"/>
              </w:rPr>
              <w:t>账号：</w:t>
            </w:r>
          </w:p>
        </w:tc>
      </w:tr>
    </w:tbl>
    <w:p w14:paraId="7B5E7156">
      <w:pPr>
        <w:shd w:val="clear"/>
        <w:rPr>
          <w:color w:val="auto"/>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7CC9B16-495F-428B-9871-706F5694085E}"/>
  </w:font>
  <w:font w:name="Kata Bold">
    <w:altName w:val="Segoe Print"/>
    <w:panose1 w:val="00000000000000000000"/>
    <w:charset w:val="00"/>
    <w:family w:val="auto"/>
    <w:pitch w:val="default"/>
    <w:sig w:usb0="00000000" w:usb1="00000000" w:usb2="00000000" w:usb3="00000000" w:csb0="20000197" w:csb1="00000000"/>
  </w:font>
  <w:font w:name="Segoe Print">
    <w:panose1 w:val="02000600000000000000"/>
    <w:charset w:val="00"/>
    <w:family w:val="auto"/>
    <w:pitch w:val="default"/>
    <w:sig w:usb0="0000028F" w:usb1="00000000" w:usb2="00000000" w:usb3="00000000" w:csb0="2000009F" w:csb1="47010000"/>
  </w:font>
  <w:font w:name="方正楷体_GB2312">
    <w:altName w:val="宋体"/>
    <w:panose1 w:val="02000000000000000000"/>
    <w:charset w:val="86"/>
    <w:family w:val="auto"/>
    <w:pitch w:val="default"/>
    <w:sig w:usb0="00000000" w:usb1="00000000" w:usb2="00000012"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CFC33A23-5CC4-4B9B-86FF-C8E4A31AD8F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2A6B2">
    <w:pPr>
      <w:pStyle w:val="8"/>
      <w:tabs>
        <w:tab w:val="right" w:pos="8820"/>
        <w:tab w:val="clear" w:pos="4153"/>
        <w:tab w:val="clear" w:pos="8306"/>
      </w:tabs>
      <w:ind w:right="77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642F677">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642F677">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A90EE">
    <w:pPr>
      <w:pStyle w:val="9"/>
      <w:pBdr>
        <w:bottom w:val="none" w:color="auto" w:sz="0" w:space="1"/>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000000"/>
    <w:rsid w:val="0D281998"/>
    <w:rsid w:val="12FD14DE"/>
    <w:rsid w:val="182D54FA"/>
    <w:rsid w:val="1FC814F4"/>
    <w:rsid w:val="31C3610C"/>
    <w:rsid w:val="41037F0F"/>
    <w:rsid w:val="417D58F0"/>
    <w:rsid w:val="44AD06F3"/>
    <w:rsid w:val="482C0E5B"/>
    <w:rsid w:val="76E92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13"/>
    <w:qFormat/>
    <w:uiPriority w:val="0"/>
    <w:pPr>
      <w:keepNext/>
      <w:keepLines/>
      <w:autoSpaceDE w:val="0"/>
      <w:autoSpaceDN w:val="0"/>
      <w:adjustRightInd w:val="0"/>
      <w:spacing w:before="240" w:after="120" w:line="300" w:lineRule="auto"/>
      <w:jc w:val="center"/>
      <w:outlineLvl w:val="0"/>
    </w:pPr>
    <w:rPr>
      <w:rFonts w:ascii="宋体" w:hAnsi="Times New Roman"/>
      <w:bCs w:val="0"/>
      <w:kern w:val="44"/>
      <w:szCs w:val="20"/>
    </w:rPr>
  </w:style>
  <w:style w:type="paragraph" w:styleId="2">
    <w:name w:val="heading 2"/>
    <w:basedOn w:val="1"/>
    <w:next w:val="1"/>
    <w:qFormat/>
    <w:uiPriority w:val="99"/>
    <w:pPr>
      <w:keepNext/>
      <w:spacing w:line="720" w:lineRule="exact"/>
      <w:outlineLvl w:val="1"/>
    </w:pPr>
    <w:rPr>
      <w:rFonts w:ascii="黑体" w:hAnsi="Kata Bold" w:eastAsia="方正楷体_GB2312"/>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Title"/>
    <w:basedOn w:val="5"/>
    <w:next w:val="1"/>
    <w:qFormat/>
    <w:uiPriority w:val="0"/>
    <w:pPr>
      <w:spacing w:before="240" w:after="60"/>
      <w:jc w:val="center"/>
      <w:outlineLvl w:val="0"/>
    </w:pPr>
    <w:rPr>
      <w:rFonts w:ascii="Cambria" w:hAnsi="Cambria"/>
      <w:b/>
      <w:bCs/>
      <w:sz w:val="32"/>
      <w:szCs w:val="32"/>
    </w:rPr>
  </w:style>
  <w:style w:type="paragraph" w:styleId="5">
    <w:name w:val="List 2"/>
    <w:basedOn w:val="1"/>
    <w:qFormat/>
    <w:uiPriority w:val="0"/>
    <w:pPr>
      <w:ind w:left="100" w:leftChars="200" w:hanging="200" w:hangingChars="200"/>
      <w:contextualSpacing/>
    </w:pPr>
  </w:style>
  <w:style w:type="paragraph" w:styleId="6">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qFormat/>
    <w:uiPriority w:val="0"/>
    <w:pPr>
      <w:tabs>
        <w:tab w:val="left" w:pos="567"/>
      </w:tabs>
      <w:spacing w:before="120" w:line="22" w:lineRule="atLeast"/>
    </w:pPr>
    <w:rPr>
      <w:rFonts w:ascii="宋体" w:hAnsi="宋体"/>
      <w:sz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character" w:styleId="12">
    <w:name w:val="page number"/>
    <w:basedOn w:val="11"/>
    <w:qFormat/>
    <w:uiPriority w:val="0"/>
  </w:style>
  <w:style w:type="character" w:customStyle="1" w:styleId="13">
    <w:name w:val="标题 1 字符"/>
    <w:link w:val="3"/>
    <w:qFormat/>
    <w:uiPriority w:val="0"/>
    <w:rPr>
      <w:rFonts w:ascii="宋体" w:hAnsi="Times New Roman"/>
      <w:kern w:val="44"/>
      <w:szCs w:val="20"/>
    </w:rPr>
  </w:style>
  <w:style w:type="paragraph" w:customStyle="1" w:styleId="14">
    <w:name w:val="Table Text"/>
    <w:basedOn w:val="1"/>
    <w:semiHidden/>
    <w:qFormat/>
    <w:uiPriority w:val="0"/>
    <w:rPr>
      <w:rFonts w:ascii="宋体" w:hAnsi="宋体" w:eastAsia="宋体" w:cs="宋体"/>
      <w:sz w:val="16"/>
      <w:szCs w:val="16"/>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1669</Words>
  <Characters>1764</Characters>
  <Lines>0</Lines>
  <Paragraphs>0</Paragraphs>
  <TotalTime>3</TotalTime>
  <ScaleCrop>false</ScaleCrop>
  <LinksUpToDate>false</LinksUpToDate>
  <CharactersWithSpaces>1826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2024-08-21T09:32:00Z</dcterms:created>
  <dc:creator>HP</dc:creator>
  <cp:lastModifiedBy>WPS_1526284077</cp:lastModifiedBy>
  <dcterms:modified xsi:type="dcterms:W3CDTF">2026-02-27T08:40:58Z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623A60DD30404033A49732512D142669_12</vt:lpwstr>
  </property>
  <property fmtid="{D5CDD505-2E9C-101B-9397-08002B2CF9AE}" pid="4" name="KSOTemplateDocerSaveRecord">
    <vt:lpwstr>eyJoZGlkIjoiMzlhNTRmMWMzMGFkNWEyMTk5OTM0MTQ3YzNkYjgzNDUiLCJ1c2VySWQiOiIzNzA0MjM3MzgifQ==</vt:lpwstr>
  </property>
</Properties>
</file>