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版本号：【KRDL】K3-260100520260227001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后勤常用维修耗材采购项目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【KRDL】K3-2601005</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后勤常用维修耗材采购项目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【KRDL】K3-2601005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后勤常用维修耗材采购项目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石油大学后勤常用维修耗材采购项目，分为二个采购包，【采购包1：后勤常用维修消耗材料（电工电料类）】采购内容为灯管、LED灯泡，空开等。【采购包2：后勤常用维修消耗材料（水暖木工类）】采购内容为水龙头、水龙头长对丝、不锈钢螺丝等，具体内容详见采购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3、谈判授权代表：供应商应授权合法的人员参加本项目采购活动全过程</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1、主体资格：供应商为向采购人提供货物及配套服务的法人或其他组织</w:t>
      </w:r>
    </w:p>
    <w:p>
      <w:pPr>
        <w:pStyle w:val="null3"/>
      </w:pPr>
      <w:r>
        <w:rPr>
          <w:rFonts w:ascii="仿宋_GB2312" w:hAnsi="仿宋_GB2312" w:cs="仿宋_GB2312" w:eastAsia="仿宋_GB2312"/>
        </w:rPr>
        <w:t>2、信誉要求：供应商未被“信用中国”网站列入失信被执行人、重大税收违法失信主体名单，未被“中国政府采购网”网站列入政府采购严重违法失信行为记录名单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3、谈判授权代表：供应商应授权合法的人员参加本项目采购活动全过程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029-88382832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张晨、马玉娇、王昭、姚瑶、刘昆、代光艳、王森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029-89563179、15109119970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采购包2：850,000.00元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采购包1保证金金额：3,003.00元</w:t>
            </w:r>
          </w:p>
          <w:p>
            <w:pPr>
              <w:pStyle w:val="null3"/>
            </w:pPr>
            <w:r>
              <w:rPr>
                <w:rFonts w:ascii="仿宋_GB2312" w:hAnsi="仿宋_GB2312" w:cs="仿宋_GB2312" w:eastAsia="仿宋_GB2312"/>
              </w:rPr>
              <w:t>采购包2保证金金额：4,003.00元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说明：签合同时需交纳合同价款的5%履约保证金，待产品自验收合格后无息退还。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说明：签合同时需交纳合同价款的5%履约保证金，待产品自验收合格后无息退还。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各采购包中标/成交供应商同意代理机构的代理服务费参照国家计委颁布的《招标代理服务收费管理暂行办法》（计价格[2002]1980号）和（发改办价格[2011]534号）货物类收费标准的90%收取，按照中标金额差额定率累进法计算。 注：转账需备注xxx项目第x包+代理服务费。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联系电话：15109119970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石油大学后勤常用维修耗材采购项目，分为二个采购包，【采购包1：后勤常用维修消耗材料（电工电料类）】采购内容为灯管、LED灯泡，空开等。【采购包2：后勤常用维修消耗材料（水暖木工类）】采购内容为水龙头、水龙头长对丝、不锈钢螺丝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后勤常用维修消耗材料（电工电料类）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后勤常用维修消耗材料（水暖木工类）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标的名称：后勤常用维修消耗材料（电工电料类）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一、</w:t>
            </w:r>
            <w:r>
              <w:rPr>
                <w:rFonts w:ascii="仿宋_GB2312" w:hAnsi="仿宋_GB2312" w:cs="仿宋_GB2312" w:eastAsia="仿宋_GB2312"/>
                <w:sz w:val="22"/>
              </w:rPr>
              <w:t>后勤常用维修消耗材料采购规格数量统计表（电工类）</w:t>
            </w:r>
          </w:p>
          <w:tbl>
            <w:tblPr>
              <w:tblBorders>
                <w:top w:val="none" w:color="000000" w:sz="4"/>
                <w:left w:val="none" w:color="000000" w:sz="4"/>
                <w:bottom w:val="none" w:color="000000" w:sz="4"/>
                <w:right w:val="none" w:color="000000" w:sz="4"/>
                <w:insideH w:val="none"/>
                <w:insideV w:val="none"/>
              </w:tblBorders>
            </w:tblPr>
            <w:tblGrid>
              <w:gridCol w:w="160"/>
              <w:gridCol w:w="418"/>
              <w:gridCol w:w="366"/>
              <w:gridCol w:w="454"/>
              <w:gridCol w:w="180"/>
              <w:gridCol w:w="310"/>
              <w:gridCol w:w="366"/>
              <w:gridCol w:w="279"/>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2026年计划采购量</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最高限价</w:t>
                  </w:r>
                  <w:r>
                    <w:rPr>
                      <w:rFonts w:ascii="仿宋_GB2312" w:hAnsi="仿宋_GB2312" w:cs="仿宋_GB2312" w:eastAsia="仿宋_GB2312"/>
                      <w:sz w:val="22"/>
                      <w:b/>
                      <w:color w:val="000000"/>
                    </w:rPr>
                    <w:t>/单价（元）</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核心产品</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1838</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2451</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1224</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G5/6500K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灯盘</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1224</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灯盘</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1224</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灯盘</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1224</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LED灯泡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LED灯泡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LED灯泡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LED灯泡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C25A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NXBLE-63-1P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C16A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NXBLE-63-1P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C20A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NXB-63-1p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C32A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NXB-63-1P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C20A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NXB-63-2P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C32A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NXB-63-2p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C40A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NXB-63-2P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C63A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NXBLE-63-2P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C60A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NXB-63-2P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C20A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NXBLE-63-2P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C63A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NXBLE-63-3P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C25A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NXBLE-63-3P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NXB-63-3P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NXB-63-4P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空开</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NXB-63-4P</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明装底盒</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86型</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五孔插座</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斜五孔</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五孔插座</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86型</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254</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平板灯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60*90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平板灯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600*600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484</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方灯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600×600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吸顶灯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吸顶灯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吸顶灯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LED吸顶灯光源模组</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超炫系列</w:t>
                  </w:r>
                  <w:r>
                    <w:rPr>
                      <w:rFonts w:ascii="仿宋_GB2312" w:hAnsi="仿宋_GB2312" w:cs="仿宋_GB2312" w:eastAsia="仿宋_GB2312"/>
                      <w:sz w:val="22"/>
                      <w:color w:val="000000"/>
                    </w:rPr>
                    <w:t>24W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走廊顶灯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600*600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节能灯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筒灯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一体灯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LED无影一体灯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白面板</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86型</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208</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瓷灯头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E27</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184</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插头三孔</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插头三孔</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吊扇调速开关</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86型</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明装</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调速开关</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86型</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暗装</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插头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铜材质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插头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铜材质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插头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3插</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铜材质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开口铜鼻子</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金属铜材质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开口铜鼻子</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金属铜材质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铜接头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铜材质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铜鼻子</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铜材质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扎带</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5*300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尼龙扎带</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5x25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单芯铜线</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4mm</w:t>
                  </w:r>
                  <w:r>
                    <w:rPr>
                      <w:rFonts w:ascii="仿宋_GB2312" w:hAnsi="仿宋_GB2312" w:cs="仿宋_GB2312" w:eastAsia="仿宋_GB2312"/>
                      <w:sz w:val="22"/>
                      <w:color w:val="000000"/>
                      <w:vertAlign w:val="superscript"/>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BV铜导线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单芯铜线</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2.5mm</w:t>
                  </w:r>
                  <w:r>
                    <w:rPr>
                      <w:rFonts w:ascii="仿宋_GB2312" w:hAnsi="仿宋_GB2312" w:cs="仿宋_GB2312" w:eastAsia="仿宋_GB2312"/>
                      <w:sz w:val="22"/>
                      <w:color w:val="000000"/>
                      <w:vertAlign w:val="superscript"/>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BV铜导线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162</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单芯铜线</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6mm</w:t>
                  </w:r>
                  <w:r>
                    <w:rPr>
                      <w:rFonts w:ascii="仿宋_GB2312" w:hAnsi="仿宋_GB2312" w:cs="仿宋_GB2312" w:eastAsia="仿宋_GB2312"/>
                      <w:sz w:val="22"/>
                      <w:color w:val="000000"/>
                      <w:vertAlign w:val="superscript"/>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BV铜导线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花线</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2.5mm</w:t>
                  </w:r>
                  <w:r>
                    <w:rPr>
                      <w:rFonts w:ascii="仿宋_GB2312" w:hAnsi="仿宋_GB2312" w:cs="仿宋_GB2312" w:eastAsia="仿宋_GB2312"/>
                      <w:sz w:val="22"/>
                      <w:color w:val="000000"/>
                      <w:vertAlign w:val="superscript"/>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护套线</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铜线</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护套线</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2.5平方</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软铜线</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244</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无火花外击式电铃</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10寸</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声控</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暗装</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电池</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碱性</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节</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电池</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碱性</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节</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插排</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15孔</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铜线材质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插排</w:t>
                  </w:r>
                  <w:r>
                    <w:rPr>
                      <w:rFonts w:ascii="仿宋_GB2312" w:hAnsi="仿宋_GB2312" w:cs="仿宋_GB2312" w:eastAsia="仿宋_GB2312"/>
                      <w:sz w:val="22"/>
                      <w:color w:val="000000"/>
                    </w:rPr>
                    <w:t>-无线</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28孔</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PVC电气胶带</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15yds*18mm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光彩电笔</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24-250V</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钢制刀</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声控</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96型</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6A/250V</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普通塑料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瓷灯头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4A/250V</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陶瓷</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暗盒修复器</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86系列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金属材质</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PVC线槽</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25X14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壁扇</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DF-40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空调插座</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16A</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r>
                    <w:rPr>
                      <w:rFonts w:ascii="仿宋_GB2312" w:hAnsi="仿宋_GB2312" w:cs="仿宋_GB2312" w:eastAsia="仿宋_GB2312"/>
                      <w:sz w:val="22"/>
                      <w:color w:val="000000"/>
                    </w:rPr>
                    <w:t>86型</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路灯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LED灯头</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双管支架</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金属</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浴霸开关面板</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5开</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20线管</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手电筒</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可充电</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合金开孔器</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金属</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合金开孔器</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25mm</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金属</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风扇</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换气扇</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APB-25</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250mm</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顶扇</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DF-40</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金属</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灯头</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E27</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LED灯芯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面板</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86系列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6500K</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头灯</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手电</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8W,锂电</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灯脚</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613</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COB灯带</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电压</w:t>
                  </w:r>
                  <w:r>
                    <w:rPr>
                      <w:rFonts w:ascii="仿宋_GB2312" w:hAnsi="仿宋_GB2312" w:cs="仿宋_GB2312" w:eastAsia="仿宋_GB2312"/>
                      <w:sz w:val="22"/>
                      <w:color w:val="000000"/>
                    </w:rPr>
                    <w:t>220V</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标的名称：后勤常用维修消耗材料（水暖木工类）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2"/>
              </w:rPr>
              <w:t>一、</w:t>
            </w:r>
            <w:r>
              <w:rPr>
                <w:rFonts w:ascii="仿宋_GB2312" w:hAnsi="仿宋_GB2312" w:cs="仿宋_GB2312" w:eastAsia="仿宋_GB2312"/>
                <w:sz w:val="22"/>
              </w:rPr>
              <w:t>后勤常用维修消耗材料采购规格数量统计表（水暖类）</w:t>
            </w:r>
          </w:p>
          <w:tbl>
            <w:tblPr>
              <w:tblBorders>
                <w:top w:val="none" w:color="000000" w:sz="4"/>
                <w:left w:val="none" w:color="000000" w:sz="4"/>
                <w:bottom w:val="none" w:color="000000" w:sz="4"/>
                <w:right w:val="none" w:color="000000" w:sz="4"/>
                <w:insideH w:val="none"/>
                <w:insideV w:val="none"/>
              </w:tblBorders>
            </w:tblPr>
            <w:tblGrid>
              <w:gridCol w:w="198"/>
              <w:gridCol w:w="451"/>
              <w:gridCol w:w="335"/>
              <w:gridCol w:w="319"/>
              <w:gridCol w:w="258"/>
              <w:gridCol w:w="319"/>
              <w:gridCol w:w="374"/>
              <w:gridCol w:w="275"/>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2026年计划采购量</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最高限价</w:t>
                  </w:r>
                  <w:r>
                    <w:rPr>
                      <w:rFonts w:ascii="仿宋_GB2312" w:hAnsi="仿宋_GB2312" w:cs="仿宋_GB2312" w:eastAsia="仿宋_GB2312"/>
                      <w:sz w:val="22"/>
                      <w:b/>
                      <w:color w:val="000000"/>
                    </w:rPr>
                    <w:t>/单价（元）</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水龙头</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双支</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728</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水龙头</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洗衣机专用</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面盆龙头</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冷热水</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下水</w:t>
                  </w:r>
                </w:p>
                <w:p>
                  <w:pPr>
                    <w:pStyle w:val="null3"/>
                    <w:jc w:val="center"/>
                  </w:pPr>
                  <w:r>
                    <w:rPr>
                      <w:rFonts w:ascii="仿宋_GB2312" w:hAnsi="仿宋_GB2312" w:cs="仿宋_GB2312" w:eastAsia="仿宋_GB2312"/>
                      <w:sz w:val="22"/>
                      <w:color w:val="000000"/>
                    </w:rPr>
                    <w:t>软管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Φ50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拖把池下水管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拖把池下水管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Φ40CM</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上水软管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60cm</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金属编制软管</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直接力长哈夫节</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铸铁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直接力长哈夫节</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铸铁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直接力长哈夫节</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铸铁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堵漏弯头哈夫节</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铸铁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堵漏弯头哈夫节</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铸铁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堵漏弯头哈夫节</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铸铁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堵漏弯头哈夫节</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铸铁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堵漏三角哈夫节</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铸铁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堵漏三角哈夫节</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铸铁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堵漏三角哈夫节</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铸铁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堵漏三角哈夫节</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铸铁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小便池感应器</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外壳不锈钢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小便感应器</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明装</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外壳不锈钢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小便感应器</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交流</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外壳不锈钢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PPR内丝三通</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φ25*½</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PPR内丝弯头</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φ25*½</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PPR弯头</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Φ25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PPR闸阀</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Φ32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PPR直接</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Φ25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PPR直接</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Φ63</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PVC直接</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Φ110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PVC弯头</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Φ110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PVC快接</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Φ50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PVC快接</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Φ75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PVC快接</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Φ110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PVC管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Φ110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壁厚</w:t>
                  </w:r>
                  <w:r>
                    <w:rPr>
                      <w:rFonts w:ascii="仿宋_GB2312" w:hAnsi="仿宋_GB2312" w:cs="仿宋_GB2312" w:eastAsia="仿宋_GB2312"/>
                      <w:sz w:val="22"/>
                      <w:color w:val="000000"/>
                    </w:rPr>
                    <w:t>≥3.2mm</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水表</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40立式</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机械表</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暖气包</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钢制</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暖气包</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钢制</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核心产品</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暖气包</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8片  立式</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钢制</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暖气包</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18片</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钢制</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暖气包</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16片*60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钢制</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暖气包</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14片*60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钢制</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台下面盆</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56*44*22</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陶瓷</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台下面盆</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22寸</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陶瓷</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小便池冲洗阀</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AC220V</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水泥</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j325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P·C 32.5</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花洒套盒</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全套</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工业盐</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50kg</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吨</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淋浴喷头</w:t>
                  </w:r>
                  <w:r>
                    <w:rPr>
                      <w:rFonts w:ascii="仿宋_GB2312" w:hAnsi="仿宋_GB2312" w:cs="仿宋_GB2312" w:eastAsia="仿宋_GB2312"/>
                      <w:sz w:val="22"/>
                      <w:color w:val="000000"/>
                    </w:rPr>
                    <w:t>+软管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全套</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6分快速取水阀</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pp-R</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旋转射线喷头</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PROS-04-MP 3000 90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旋转射线喷头</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PROS-04-MP-3000 360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灌溉电池</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专用</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节</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铜球阀</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DN40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黄铜</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229</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铜闸阀</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DN20</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黄铜</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冲水阀</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DN25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角阀</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DN15</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面盆下水器</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孔径</w:t>
                  </w:r>
                  <w:r>
                    <w:rPr>
                      <w:rFonts w:ascii="仿宋_GB2312" w:hAnsi="仿宋_GB2312" w:cs="仿宋_GB2312" w:eastAsia="仿宋_GB2312"/>
                      <w:sz w:val="22"/>
                      <w:color w:val="000000"/>
                    </w:rPr>
                    <w:t>38-50mm</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58"/>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水龙头长对丝</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四分</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水龙头锁紧螺</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四分</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184</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水不漏</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西卡</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强力卡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29-31</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强力卡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36-39</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强力卡</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44-47</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2"/>
              </w:rPr>
              <w:t>二、</w:t>
            </w:r>
            <w:r>
              <w:rPr>
                <w:rFonts w:ascii="仿宋_GB2312" w:hAnsi="仿宋_GB2312" w:cs="仿宋_GB2312" w:eastAsia="仿宋_GB2312"/>
                <w:sz w:val="22"/>
              </w:rPr>
              <w:t>后勤常用维修消耗材料采购规格数量统计表（木工类）</w:t>
            </w:r>
          </w:p>
          <w:tbl>
            <w:tblPr>
              <w:tblInd w:type="dxa" w:w="120"/>
              <w:tblBorders>
                <w:top w:val="none" w:color="000000" w:sz="4"/>
                <w:left w:val="none" w:color="000000" w:sz="4"/>
                <w:bottom w:val="none" w:color="000000" w:sz="4"/>
                <w:right w:val="none" w:color="000000" w:sz="4"/>
                <w:insideH w:val="none"/>
                <w:insideV w:val="none"/>
              </w:tblBorders>
            </w:tblPr>
            <w:tblGrid>
              <w:gridCol w:w="165"/>
              <w:gridCol w:w="437"/>
              <w:gridCol w:w="331"/>
              <w:gridCol w:w="341"/>
              <w:gridCol w:w="235"/>
              <w:gridCol w:w="400"/>
              <w:gridCol w:w="357"/>
              <w:gridCol w:w="256"/>
            </w:tblGrid>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参数</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2026年计划采购量</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最高限价</w:t>
                  </w:r>
                  <w:r>
                    <w:rPr>
                      <w:rFonts w:ascii="仿宋_GB2312" w:hAnsi="仿宋_GB2312" w:cs="仿宋_GB2312" w:eastAsia="仿宋_GB2312"/>
                      <w:sz w:val="22"/>
                      <w:b/>
                      <w:color w:val="000000"/>
                    </w:rPr>
                    <w:t>/单价（元）</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不锈钢螺丝</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沉头</w:t>
                  </w:r>
                  <w:r>
                    <w:rPr>
                      <w:rFonts w:ascii="仿宋_GB2312" w:hAnsi="仿宋_GB2312" w:cs="仿宋_GB2312" w:eastAsia="仿宋_GB2312"/>
                      <w:sz w:val="22"/>
                      <w:color w:val="000000"/>
                    </w:rPr>
                    <w:t>Φ5X10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热镀锌</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1832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不锈钢螺丝</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Φ5X10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热镀锌</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膨胀螺丝</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Φ10X150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热镀锌</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膨胀螺丝</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Φ10X200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热镀锌</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184</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膨胀螺丝</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Φ10X100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热镀锌</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587</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膨胀挂钩</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Φ10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热镀锌</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三力锁</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左开</w:t>
                  </w:r>
                  <w:r>
                    <w:rPr>
                      <w:rFonts w:ascii="仿宋_GB2312" w:hAnsi="仿宋_GB2312" w:cs="仿宋_GB2312" w:eastAsia="仿宋_GB2312"/>
                      <w:sz w:val="22"/>
                      <w:color w:val="000000"/>
                    </w:rPr>
                    <w:t>35-50mm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460</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三力锁</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右开</w:t>
                  </w:r>
                  <w:r>
                    <w:rPr>
                      <w:rFonts w:ascii="仿宋_GB2312" w:hAnsi="仿宋_GB2312" w:cs="仿宋_GB2312" w:eastAsia="仿宋_GB2312"/>
                      <w:sz w:val="22"/>
                      <w:color w:val="000000"/>
                    </w:rPr>
                    <w:t>35-50mm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U型锁</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链条锁</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1米</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T型锁</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85mm孔距45mm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铁皮柜锁</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MS402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双拔叉箱柜锁</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防盗门锁芯</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一字</w:t>
                  </w:r>
                  <w:r>
                    <w:rPr>
                      <w:rFonts w:ascii="仿宋_GB2312" w:hAnsi="仿宋_GB2312" w:cs="仿宋_GB2312" w:eastAsia="仿宋_GB2312"/>
                      <w:sz w:val="22"/>
                      <w:color w:val="000000"/>
                    </w:rPr>
                    <w:t>90mm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C级安全铜</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防盗门锁芯</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中芯</w:t>
                  </w:r>
                  <w:r>
                    <w:rPr>
                      <w:rFonts w:ascii="仿宋_GB2312" w:hAnsi="仿宋_GB2312" w:cs="仿宋_GB2312" w:eastAsia="仿宋_GB2312"/>
                      <w:sz w:val="22"/>
                      <w:color w:val="000000"/>
                    </w:rPr>
                    <w:t>90mm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C级安全铜</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防盗门锁芯</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偏芯</w:t>
                  </w:r>
                  <w:r>
                    <w:rPr>
                      <w:rFonts w:ascii="仿宋_GB2312" w:hAnsi="仿宋_GB2312" w:cs="仿宋_GB2312" w:eastAsia="仿宋_GB2312"/>
                      <w:sz w:val="22"/>
                      <w:color w:val="000000"/>
                    </w:rPr>
                    <w:t>90mm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C级安全铜</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王力防盗门锁芯</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r>
                    <w:rPr>
                      <w:rFonts w:ascii="仿宋_GB2312" w:hAnsi="仿宋_GB2312" w:cs="仿宋_GB2312" w:eastAsia="仿宋_GB2312"/>
                      <w:sz w:val="22"/>
                      <w:color w:val="000000"/>
                    </w:rPr>
                    <w:t>m</w:t>
                  </w:r>
                  <w:r>
                    <w:rPr>
                      <w:rFonts w:ascii="仿宋_GB2312" w:hAnsi="仿宋_GB2312" w:cs="仿宋_GB2312" w:eastAsia="仿宋_GB2312"/>
                      <w:sz w:val="22"/>
                      <w:color w:val="000000"/>
                    </w:rPr>
                    <w:t>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C级安全铜</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防盗门锁体</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圆柱</w:t>
                  </w:r>
                  <w:r>
                    <w:rPr>
                      <w:rFonts w:ascii="仿宋_GB2312" w:hAnsi="仿宋_GB2312" w:cs="仿宋_GB2312" w:eastAsia="仿宋_GB2312"/>
                      <w:sz w:val="22"/>
                      <w:color w:val="000000"/>
                    </w:rPr>
                    <w:t>30*240mm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铜锁冒</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M16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907</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锁把手</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40-60mm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门把手</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150cm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门拉手</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150CM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塑钢门把手</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横杠式</w:t>
                  </w:r>
                  <w:r>
                    <w:rPr>
                      <w:rFonts w:ascii="仿宋_GB2312" w:hAnsi="仿宋_GB2312" w:cs="仿宋_GB2312" w:eastAsia="仿宋_GB2312"/>
                      <w:sz w:val="22"/>
                      <w:color w:val="000000"/>
                    </w:rPr>
                    <w:t>40-60mm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副</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塑钢门把手</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横杠式</w:t>
                  </w:r>
                  <w:r>
                    <w:rPr>
                      <w:rFonts w:ascii="仿宋_GB2312" w:hAnsi="仿宋_GB2312" w:cs="仿宋_GB2312" w:eastAsia="仿宋_GB2312"/>
                      <w:sz w:val="22"/>
                      <w:color w:val="000000"/>
                    </w:rPr>
                    <w:t>40-60mm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184</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大拉手</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孔距</w:t>
                  </w:r>
                  <w:r>
                    <w:rPr>
                      <w:rFonts w:ascii="仿宋_GB2312" w:hAnsi="仿宋_GB2312" w:cs="仿宋_GB2312" w:eastAsia="仿宋_GB2312"/>
                      <w:sz w:val="22"/>
                      <w:color w:val="000000"/>
                    </w:rPr>
                    <w:t>80mm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1120</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三角固定卡</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40mm*40mm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368</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瓷砖</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30*30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陶瓷</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毛巾杆</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19#不锈钢</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毛巾杆</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2米/根</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360</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半通支架杆</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r>
                    <w:rPr>
                      <w:rFonts w:ascii="仿宋_GB2312" w:hAnsi="仿宋_GB2312" w:cs="仿宋_GB2312" w:eastAsia="仿宋_GB2312"/>
                      <w:sz w:val="22"/>
                      <w:color w:val="000000"/>
                    </w:rPr>
                    <w:t>可调节</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907</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衣柜杆</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Ø20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挂衣杆支架</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r>
                    <w:rPr>
                      <w:rFonts w:ascii="仿宋_GB2312" w:hAnsi="仿宋_GB2312" w:cs="仿宋_GB2312" w:eastAsia="仿宋_GB2312"/>
                      <w:sz w:val="22"/>
                      <w:color w:val="000000"/>
                    </w:rPr>
                    <w:t>半通</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可调</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铁皮柜轨道</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30cm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铁皮柜轨道</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35cm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抽屉轨道</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33cm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副</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抽屉轨道</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37.5cm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副</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抽屉轨道</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45cm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副</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螺母</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4号</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镀锌钢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螺母</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Φ8X80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镀锌钢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螺母</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Φ5</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镀锌钢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螺杆</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Φ8</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镀锌钢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螺杆</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Φ5X100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镀锌钢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钉子</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斤</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钉子</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斤</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钉子</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1.5寸</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斤</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钉子</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斤</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鞋钉</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1.6cm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碳素钢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厕门合页</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1.5寸</w:t>
                  </w:r>
                  <w:r>
                    <w:rPr>
                      <w:rFonts w:ascii="仿宋_GB2312" w:hAnsi="仿宋_GB2312" w:cs="仿宋_GB2312" w:eastAsia="仿宋_GB2312"/>
                      <w:sz w:val="22"/>
                      <w:color w:val="000000"/>
                    </w:rPr>
                    <w:t>左向</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高强度自攻丝</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Φ3.5X40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高强度钢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高强度自攻丝</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Φ3.5X16</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高强度钢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燕尾丝</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Φ4x40mm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碳素钢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铁丝</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16号</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碳素钢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盘</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铁丝</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碳素钢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kg</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镀锌对丝</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Φ20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镀锌钢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窗帘滑轮</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铝合金窗帘</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907</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角铁</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L40  根/6米</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钢铁</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圆钢</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Φ12  根/6米</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镀锌变径三通</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Φ25X20</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镀锌</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结构胶</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590ml</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中性硅酸铜</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调和漆</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3KG/桶</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乳白色</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乳胶漆</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25KG</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乳白色</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水晶钢化干粉墙漆</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15kg</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乳白色</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油漆刷</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2吋</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软毛刷</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木龙骨</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4cmX5cm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木材质</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螺栓松动剂</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450ml x24瓶</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延时阀</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ST-9902</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加厚铜牙角阀</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JF-14</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铜</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高水箱洁具</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XQ82-3型</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窗帘轨道滑轮</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2公分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窗帘轨道滑轮</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2公分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活动扳手</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12寸</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管道疏通器</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窗纱</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1.2米宽幅</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尼龙</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压条</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5mmX5mm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橡胶</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捆</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高压自粘带</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柔性钳表</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5000A</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金属</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手枪钻</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220V</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老虎钳</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6寸</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冷轧钢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剥线钳</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7寸</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冷轧钢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大尖嘴钳</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9合一</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金属</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生料带</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18米</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透明胶带</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5cm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高强度管道修补胶</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100ml</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聚合物</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水管漏水补漏胶带</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1米</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美缝透明胶</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防水胶带</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缓冲合页</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小弯</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905</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结构胶</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995A</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衣车油</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5斤</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电热水器混合阀</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四分</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泡沫双面胶</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宽</w:t>
                  </w:r>
                  <w:r>
                    <w:rPr>
                      <w:rFonts w:ascii="仿宋_GB2312" w:hAnsi="仿宋_GB2312" w:cs="仿宋_GB2312" w:eastAsia="仿宋_GB2312"/>
                      <w:sz w:val="22"/>
                      <w:color w:val="000000"/>
                    </w:rPr>
                    <w:t>2厘米</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角码</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25mm*25mm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184</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工业凡士林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500g</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警示带</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5cm</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盘</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云石胶</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16kg</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乳白</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阀门手轮</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4分/铜</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合金钢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184</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电脑桌轨道</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14寸</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付</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184</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硬塑专用胶</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50g</w:t>
                  </w: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2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提出材料需求后3天内全部货品现场到位，应急抢修需求材料12小时内现场到位。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提出材料需求后3天内全部货品现场到位，应急抢修需求材料12小时内现场到位。</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具体结算时以合同期内实际采购货物数量为准，乙方提供全额供增值税专用发票，按月据实结算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具体结算时以合同期内实际采购货物数量为准，乙方提供全额供增值税专用发票，按月据实结算</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运输方式由乙方自行选择，但必须保证按期交货。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运输方式由乙方自行选择，但必须保证按期交货。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一年及以上，出现问题能够2h内响应，如需上门，24小时内到位。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一年及以上，出现问题能够2h内响应，如需上门，24小时内到位。</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1.供应商按照企业自身情况及市场行情进行自主填报投标报价。投标报价内容按照本项目本文件第七章 响应文件格式“报价明细表”中给定的格式内容及要求进行填写，不得修改或删减。 注：在谈判二次报价环节，供应商仍按照以上要求进行填报二次谈判报价并将“报价明细表”上传至二次报价环节系统内（因本项目为电子标，供应商应综合考虑报价时间，提前将“报价明细表”的单价以及总价名列清楚，等待系统提示上传，如因供应商自身原因，未按要求上传“报价明细表”或者未按系统设置的响应时间内进行上传，将按无效谈判处理，供应商自行承担责任。） 2.采购包1，以供应商所填报的《后勤常用维修消耗材料采购规格数量统计表（电工类）》各项单价的合计金额参与价格分计算。同时所填报的各项单价均不得超过相应的最高限价（单价）以及本项目采购包的最高限价（元），否则按无效投标处理。 3.结算时按照供应商所填报的各项单价结合合同约定的方式进行最终的据实结算。 4.售后服务承诺：收到报修信息后，在2个小时之内响应用户要求；如需上门，24小时内到位。设备质保不低于1年，终身维护。保修期内，因质量原因更换所有部件及人工服务均免费； 5.质量标准：以国家标准为准，无国家标准的以行业标准为准； 6.合同期限：2026年3月1日至2027年2月28日。 7.投标保证金注意事项：（1）投标保证金缴纳截止时间：同响应文件递交截止时间一致。（2）投标保证金须从供应商户名支付，如从个人户名或非供应商户名支付，将被拒绝，视为自动放弃投标权利（该个人是供应商的情形除外）；以保函形式交纳投标保证金的，供应商应在投标截止时间前将保函扫描成清晰的PDF文件，发送至邮箱471759883@qq.com（邮件命名：项目编号+标段）。保函必须由具有开具投标保函资格的单位开具；若供应商违约，开具保函单位承担连带责任； 8.中标供应商应在中标结果发布后2日内提供与电子化交易平台上传一致的纸质响应文件2份。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1.供应商按照企业自身情况及市场行情进行自主填报投标报价。投标报价内容按照本项目本文件第七章 响应文件格式“报价明细表”中给定的格式内容及要求进行填写，不得修改或删减。 注：在谈判二次报价环节，供应商仍按照以上要求进行填报二次谈判报价并将“报价明细表”上传至二次报价环节系统内（因本项目为电子标，供应商应综合考虑报价时间，提前将“报价明细表”的单价以及总价名列清楚，等待系统提示上传，如因供应商自身原因，未按要求上传“报价明细表”或者未按系统设置的响应时间内进行上传，将按无效谈判处理，供应商自行承担责任。） 2.采购包2，以供应商所填报的《后勤常用维修消耗材料采购规格数量统计表（水暖类）各项单价的合计金额+后勤常用维修消耗材料采购规格数量统计表（木工类）》各项单价的合计金额参与价格分计算。同时所填报的各项单价均不得超过相应的最高限价（单价）以及本项目采购包的最高限价（元），否则按无效投标处理。 3.结算时按照供应商所填报的各项单价结合合同约定的方式进行最终的据实结算。 4.售后服务承诺：收到报修信息后，在2个小时之内响应用户要求；如需上门，24小时内到位。设备质保不低于1年，终身维护。保修期内，因质量原因更换所有部件及人工服务均免费； 5.质量标准：以国家标准为准，无国家标准的以行业标准为准； 6.合同期限：2026年3月1日至2027年2月28日。 7.投标保证金注意事项：（1）投标保证金缴纳截止时间：同响应文件递交截止时间一致。（2）投标保证金须从供应商户名支付，如从个人户名或非供应商户名支付，将被拒绝，视为自动放弃投标权利（该个人是供应商的情形除外）；以保函形式交纳投标保证金的，供应商应在投标截止时间前将保函扫描成清晰的PDF文件，发送至邮箱471759883@qq.com（邮件命名：项目编号+标段）。保函必须由具有开具投标保函资格的单位开具；若供应商违约，开具保函单位承担连带责任； 8.中标供应商应在中标结果发布后2日内提供与电子化交易平台上传一致的纸质响应文件2份。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本项目是否面向中小企业</w:t>
            </w:r>
          </w:p>
        </w:tc>
        <w:tc>
          <w:tcPr>
            <w:tcW w:type="dxa" w:w="3322"/>
          </w:tcPr>
          <w:p>
            <w:pPr>
              <w:pStyle w:val="null3"/>
            </w:pPr>
            <w:r>
              <w:rPr>
                <w:rFonts w:ascii="仿宋_GB2312" w:hAnsi="仿宋_GB2312" w:cs="仿宋_GB2312" w:eastAsia="仿宋_GB2312"/>
              </w:rPr>
              <w:t>本项目为非专门面向中、小、微型企业采购项目</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①《关于在政府采购活动中查询及使用信用记录有关问题的通知》（财库〔2016〕125号）；②《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③国务院办公厅《关于建立政府强制采购节能产品制度的通知》（国办发〔2007〕51号）、财政部、国家发改委、生态环境部、监管总局联合印发《关于调整优化节能产品、环境标志产品政府采购执行机制的通知》（财库〔2019〕9号）；④《陕西省财政厅关于加快推进我省中小企业政府采购信用融资工作的通知》（陕财办采〔2020〕15号）、陕西省财政厅关于印发《陕西省中小企业政府采购信用融资办法》（陕财办采〔2018〕23号）；⑤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本项目是否面向中小企业</w:t>
            </w:r>
          </w:p>
        </w:tc>
        <w:tc>
          <w:tcPr>
            <w:tcW w:type="dxa" w:w="3322"/>
          </w:tcPr>
          <w:p>
            <w:pPr>
              <w:pStyle w:val="null3"/>
            </w:pPr>
            <w:r>
              <w:rPr>
                <w:rFonts w:ascii="仿宋_GB2312" w:hAnsi="仿宋_GB2312" w:cs="仿宋_GB2312" w:eastAsia="仿宋_GB2312"/>
              </w:rPr>
              <w:t>本项目为非专门面向中、小、微型企业采购项目</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①《关于在政府采购活动中查询及使用信用记录有关问题的通知》（财库〔2016〕125号）；②《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③国务院办公厅《关于建立政府强制采购节能产品制度的通知》（国办发〔2007〕51号）、财政部、国家发改委、生态环境部、监管总局联合印发《关于调整优化节能产品、环境标志产品政府采购执行机制的通知》（财库〔2019〕9号）；④《陕西省财政厅关于加快推进我省中小企业政府采购信用融资工作的通知》（陕财办采〔2020〕15号）、陕西省财政厅关于印发《陕西省中小企业政府采购信用融资办法》（陕财办采〔2018〕23号）；⑤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谈判授权代表</w:t>
            </w:r>
          </w:p>
        </w:tc>
        <w:tc>
          <w:tcPr>
            <w:tcW w:type="dxa" w:w="3322"/>
          </w:tcPr>
          <w:p>
            <w:pPr>
              <w:pStyle w:val="null3"/>
            </w:pPr>
            <w:r>
              <w:rPr>
                <w:rFonts w:ascii="仿宋_GB2312" w:hAnsi="仿宋_GB2312" w:cs="仿宋_GB2312" w:eastAsia="仿宋_GB2312"/>
              </w:rPr>
              <w:t>供应商应授权合法的人员参加本项目采购活动全过程</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供应商为向采购人提供货物及配套服务的法人或其他组织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谈判授权代表</w:t>
            </w:r>
          </w:p>
        </w:tc>
        <w:tc>
          <w:tcPr>
            <w:tcW w:type="dxa" w:w="3322"/>
          </w:tcPr>
          <w:p>
            <w:pPr>
              <w:pStyle w:val="null3"/>
            </w:pPr>
            <w:r>
              <w:rPr>
                <w:rFonts w:ascii="仿宋_GB2312" w:hAnsi="仿宋_GB2312" w:cs="仿宋_GB2312" w:eastAsia="仿宋_GB2312"/>
              </w:rPr>
              <w:t>供应商应授权合法的人员参加本项目采购活动全过程</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按竞争性谈判文件要求签署、盖章</w:t>
            </w:r>
          </w:p>
        </w:tc>
        <w:tc>
          <w:tcPr>
            <w:tcW w:type="dxa" w:w="3322"/>
          </w:tcPr>
          <w:p>
            <w:pPr>
              <w:pStyle w:val="null3"/>
            </w:pPr>
            <w:r>
              <w:rPr>
                <w:rFonts w:ascii="仿宋_GB2312" w:hAnsi="仿宋_GB2312" w:cs="仿宋_GB2312" w:eastAsia="仿宋_GB2312"/>
              </w:rPr>
              <w:t>按竞争性谈判文件要求签署、盖章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谈判报价未超过预算金额或者最高限价</w:t>
            </w:r>
          </w:p>
        </w:tc>
        <w:tc>
          <w:tcPr>
            <w:tcW w:type="dxa" w:w="1661"/>
          </w:tcPr>
          <w:p>
            <w:pPr>
              <w:pStyle w:val="null3"/>
            </w:pPr>
            <w:r>
              <w:rPr>
                <w:rFonts w:ascii="仿宋_GB2312" w:hAnsi="仿宋_GB2312" w:cs="仿宋_GB2312" w:eastAsia="仿宋_GB2312"/>
              </w:rPr>
              <w:t>报价明细表采购包1.docx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是否存在法律、法规和竞争性谈判文件规定的其他无效情形</w:t>
            </w:r>
          </w:p>
        </w:tc>
        <w:tc>
          <w:tcPr>
            <w:tcW w:type="dxa" w:w="3322"/>
          </w:tcPr>
          <w:p>
            <w:pPr>
              <w:pStyle w:val="null3"/>
            </w:pPr>
            <w:r>
              <w:rPr>
                <w:rFonts w:ascii="仿宋_GB2312" w:hAnsi="仿宋_GB2312" w:cs="仿宋_GB2312" w:eastAsia="仿宋_GB2312"/>
              </w:rPr>
              <w:t>不存在法律、法规和竞争性谈判文件规定的其他无效情形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须满足第三章 谈判项目技术、服务、商务及其他要求中“3.3技术要求”及“3.4商务要求”“3.5其他要求”</w:t>
            </w:r>
          </w:p>
        </w:tc>
        <w:tc>
          <w:tcPr>
            <w:tcW w:type="dxa" w:w="3322"/>
          </w:tcPr>
          <w:p>
            <w:pPr>
              <w:pStyle w:val="null3"/>
            </w:pPr>
            <w:r>
              <w:rPr>
                <w:rFonts w:ascii="仿宋_GB2312" w:hAnsi="仿宋_GB2312" w:cs="仿宋_GB2312" w:eastAsia="仿宋_GB2312"/>
              </w:rPr>
              <w:t>满足第三章 谈判项目技术、服务、商务及其他要求中“3.3技术要求”及“3.4商务要求”、“3.5其他要求”</w:t>
            </w:r>
          </w:p>
        </w:tc>
        <w:tc>
          <w:tcPr>
            <w:tcW w:type="dxa" w:w="1661"/>
          </w:tcPr>
          <w:p>
            <w:pPr>
              <w:pStyle w:val="null3"/>
            </w:pPr>
            <w:r>
              <w:rPr>
                <w:rFonts w:ascii="仿宋_GB2312" w:hAnsi="仿宋_GB2312" w:cs="仿宋_GB2312" w:eastAsia="仿宋_GB2312"/>
              </w:rPr>
              <w:t>技术方案.docx 产品技术参数表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按竞争性谈判文件要求签署、盖章</w:t>
            </w:r>
          </w:p>
        </w:tc>
        <w:tc>
          <w:tcPr>
            <w:tcW w:type="dxa" w:w="3322"/>
          </w:tcPr>
          <w:p>
            <w:pPr>
              <w:pStyle w:val="null3"/>
            </w:pPr>
            <w:r>
              <w:rPr>
                <w:rFonts w:ascii="仿宋_GB2312" w:hAnsi="仿宋_GB2312" w:cs="仿宋_GB2312" w:eastAsia="仿宋_GB2312"/>
              </w:rPr>
              <w:t>按竞争性谈判文件要求签署、盖章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谈判报价未超过预算金额或者最高限价</w:t>
            </w:r>
          </w:p>
        </w:tc>
        <w:tc>
          <w:tcPr>
            <w:tcW w:type="dxa" w:w="1661"/>
          </w:tcPr>
          <w:p>
            <w:pPr>
              <w:pStyle w:val="null3"/>
            </w:pPr>
            <w:r>
              <w:rPr>
                <w:rFonts w:ascii="仿宋_GB2312" w:hAnsi="仿宋_GB2312" w:cs="仿宋_GB2312" w:eastAsia="仿宋_GB2312"/>
              </w:rPr>
              <w:t>报价明细表采购包2.docx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是否存在法律、法规和竞争性谈判文件规定的其他无效情形</w:t>
            </w:r>
          </w:p>
        </w:tc>
        <w:tc>
          <w:tcPr>
            <w:tcW w:type="dxa" w:w="3322"/>
          </w:tcPr>
          <w:p>
            <w:pPr>
              <w:pStyle w:val="null3"/>
            </w:pPr>
            <w:r>
              <w:rPr>
                <w:rFonts w:ascii="仿宋_GB2312" w:hAnsi="仿宋_GB2312" w:cs="仿宋_GB2312" w:eastAsia="仿宋_GB2312"/>
              </w:rPr>
              <w:t>不存在法律、法规和竞争性谈判文件规定的其他无效情形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须满足第三章 谈判项目技术、服务、商务及其他要求中“3.3技术要求”及“3.4商务要求”“3.5其他要求”</w:t>
            </w:r>
          </w:p>
        </w:tc>
        <w:tc>
          <w:tcPr>
            <w:tcW w:type="dxa" w:w="3322"/>
          </w:tcPr>
          <w:p>
            <w:pPr>
              <w:pStyle w:val="null3"/>
            </w:pPr>
            <w:r>
              <w:rPr>
                <w:rFonts w:ascii="仿宋_GB2312" w:hAnsi="仿宋_GB2312" w:cs="仿宋_GB2312" w:eastAsia="仿宋_GB2312"/>
              </w:rPr>
              <w:t>满足第三章 谈判项目技术、服务、商务及其他要求中“3.3技术要求”及“3.4商务要求”、“3.5其他要求”</w:t>
            </w:r>
          </w:p>
        </w:tc>
        <w:tc>
          <w:tcPr>
            <w:tcW w:type="dxa" w:w="1661"/>
          </w:tcPr>
          <w:p>
            <w:pPr>
              <w:pStyle w:val="null3"/>
            </w:pPr>
            <w:r>
              <w:rPr>
                <w:rFonts w:ascii="仿宋_GB2312" w:hAnsi="仿宋_GB2312" w:cs="仿宋_GB2312" w:eastAsia="仿宋_GB2312"/>
              </w:rPr>
              <w:t>技术方案.docx 产品技术参数表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详见附件：报价明细表采购包1.docx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详见附件：报价明细表采购包2.docx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