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2A705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技术方案</w:t>
      </w:r>
    </w:p>
    <w:p w14:paraId="55B843E6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供应商根据第三章 谈判项目技术、服务、商务及其他要求，作出全面响应的实施方</w:t>
      </w:r>
      <w:bookmarkStart w:id="0" w:name="_GoBack"/>
      <w:bookmarkEnd w:id="0"/>
      <w:r>
        <w:rPr>
          <w:rFonts w:hint="eastAsia"/>
          <w:sz w:val="24"/>
          <w:szCs w:val="32"/>
        </w:rPr>
        <w:t>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B0DD2"/>
    <w:rsid w:val="090B0D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2026-02-27T01:55:00Z</dcterms:created>
  <dc:creator>樱桃小晨子 </dc:creator>
  <cp:lastModifiedBy>樱桃小晨子 </cp:lastModifiedBy>
  <dcterms:modified xsi:type="dcterms:W3CDTF">2026-02-27T01:56:16Z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5B7F9B87065D47D2861343BF33A23AED_11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