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版本号：HCXM-GK-2511-05.1B120260228001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2025年医疗与化学技术能力提升装备项目（十六）(二次)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HCXM-GK-2511-05.1B1</w:t>
      </w:r>
      <w:r>
        <w:br/>
      </w:r>
      <w:r>
        <w:br/>
      </w:r>
      <w:r>
        <w:br/>
      </w:r>
    </w:p>
    <w:p>
      <w:pPr>
        <w:pStyle w:val="null3"/>
        <w:jc w:val="center"/>
        <w:outlineLvl w:val="2"/>
      </w:pPr>
      <w:r>
        <w:rPr>
          <w:rFonts w:ascii="仿宋_GB2312" w:hAnsi="仿宋_GB2312" w:cs="仿宋_GB2312" w:eastAsia="仿宋_GB2312"/>
          <w:sz w:val="28"/>
          <w:b/>
        </w:rPr>
        <w:t>陕西省计量科学研究院</w:t>
      </w:r>
    </w:p>
    <w:p>
      <w:pPr>
        <w:pStyle w:val="null3"/>
        <w:jc w:val="center"/>
        <w:outlineLvl w:val="2"/>
      </w:pPr>
      <w:r>
        <w:rPr>
          <w:rFonts w:ascii="仿宋_GB2312" w:hAnsi="仿宋_GB2312" w:cs="仿宋_GB2312" w:eastAsia="仿宋_GB2312"/>
          <w:sz w:val="28"/>
          <w:b/>
        </w:rPr>
        <w:t>汇成项目管理有限公司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汇成项目管理有限公司</w:t>
      </w:r>
      <w:r>
        <w:rPr>
          <w:rFonts w:ascii="仿宋_GB2312" w:hAnsi="仿宋_GB2312" w:cs="仿宋_GB2312" w:eastAsia="仿宋_GB2312"/>
        </w:rPr>
        <w:t>（以下简称“代理机构”）受</w:t>
      </w:r>
      <w:r>
        <w:rPr>
          <w:rFonts w:ascii="仿宋_GB2312" w:hAnsi="仿宋_GB2312" w:cs="仿宋_GB2312" w:eastAsia="仿宋_GB2312"/>
        </w:rPr>
        <w:t>陕西省计量科学研究院</w:t>
      </w:r>
      <w:r>
        <w:rPr>
          <w:rFonts w:ascii="仿宋_GB2312" w:hAnsi="仿宋_GB2312" w:cs="仿宋_GB2312" w:eastAsia="仿宋_GB2312"/>
        </w:rPr>
        <w:t>委托，拟对</w:t>
      </w:r>
      <w:r>
        <w:rPr>
          <w:rFonts w:ascii="仿宋_GB2312" w:hAnsi="仿宋_GB2312" w:cs="仿宋_GB2312" w:eastAsia="仿宋_GB2312"/>
        </w:rPr>
        <w:t>2025年医疗与化学技术能力提升装备项目（十六）(二次)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HCXM-GK-2511-05.1B1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2025年医疗与化学技术能力提升装备项目（十六）(二次)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采购2025年医疗与化学技术能力提升装备项目（十六）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采购包1（2025年医疗与化学技术能力提升装备项目（十六））：属于专门面向中小企业采购。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陕西省计量科学研究院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西安市航天基地神舟六路南段580号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陕西省计量科学研究院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029-85838133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汇成项目管理有限公司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陕西省西安市雁塔区团结南路12号西安国际人才大厦A座北1508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刘婧莎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13772480905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采购包1：2,046,000.00元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开户名称：汇成项目管理有限公司（备注：缴纳时需备注项目名称、采购包号；开具保函的单位，在投标截止前一天需给代理机构交一份纸质版保函。）</w:t>
            </w:r>
          </w:p>
          <w:p>
            <w:pPr>
              <w:pStyle w:val="null3"/>
            </w:pPr>
            <w:r>
              <w:rPr>
                <w:rFonts w:ascii="仿宋_GB2312" w:hAnsi="仿宋_GB2312" w:cs="仿宋_GB2312" w:eastAsia="仿宋_GB2312"/>
              </w:rPr>
              <w:t>开户银行：中国建设银行股份有限公司西安高新科技支行</w:t>
            </w:r>
          </w:p>
          <w:p>
            <w:pPr>
              <w:pStyle w:val="null3"/>
            </w:pPr>
            <w:r>
              <w:rPr>
                <w:rFonts w:ascii="仿宋_GB2312" w:hAnsi="仿宋_GB2312" w:cs="仿宋_GB2312" w:eastAsia="仿宋_GB2312"/>
              </w:rPr>
              <w:t>银行账号：61050192570000000294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在领取中标通知书时，向汇成项目管理有限公司缴纳招标代理服务费。服务费收费标准参照原国家计委关于《招标代理服务收费管理暂行办法》的通知（计价格[2002]1980号）、《国家发展改革委办公厅关于招标代理服务收费有关问题的通知》（发改价格[2003]857号）规定执行。 服务费账户信息： 户名：汇成项目管理有限公司 账号：61050192570000000294 开户行：中国建设银行西安高新科技支行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陕西省计量科学研究院</w:t>
      </w:r>
      <w:r>
        <w:rPr>
          <w:rFonts w:ascii="仿宋_GB2312" w:hAnsi="仿宋_GB2312" w:cs="仿宋_GB2312" w:eastAsia="仿宋_GB2312"/>
        </w:rPr>
        <w:t>和</w:t>
      </w:r>
      <w:r>
        <w:rPr>
          <w:rFonts w:ascii="仿宋_GB2312" w:hAnsi="仿宋_GB2312" w:cs="仿宋_GB2312" w:eastAsia="仿宋_GB2312"/>
        </w:rPr>
        <w:t>汇成项目管理有限公司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陕西省计量科学研究院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汇成项目管理有限公司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陕西省计量科学研究院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汇成项目管理有限公司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验收以合同、招标文件、投标文件、证书、国家相应的标准、规范等为依据。符合合同要求。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汇成项目管理有限公司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汇成项目管理有限公司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联系人：刘婧莎</w:t>
      </w:r>
    </w:p>
    <w:p>
      <w:pPr>
        <w:pStyle w:val="null3"/>
      </w:pPr>
      <w:r>
        <w:rPr>
          <w:rFonts w:ascii="仿宋_GB2312" w:hAnsi="仿宋_GB2312" w:cs="仿宋_GB2312" w:eastAsia="仿宋_GB2312"/>
        </w:rPr>
        <w:t>联系电话：029-68781555</w:t>
      </w:r>
    </w:p>
    <w:p>
      <w:pPr>
        <w:pStyle w:val="null3"/>
      </w:pPr>
      <w:r>
        <w:rPr>
          <w:rFonts w:ascii="仿宋_GB2312" w:hAnsi="仿宋_GB2312" w:cs="仿宋_GB2312" w:eastAsia="仿宋_GB2312"/>
        </w:rPr>
        <w:t>地址：陕西省西安市雁塔区团结南路12号西安国际人才大厦A座北1508</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2,046,000.00</w:t>
      </w:r>
    </w:p>
    <w:p>
      <w:pPr>
        <w:pStyle w:val="null3"/>
      </w:pPr>
      <w:r>
        <w:rPr>
          <w:rFonts w:ascii="仿宋_GB2312" w:hAnsi="仿宋_GB2312" w:cs="仿宋_GB2312" w:eastAsia="仿宋_GB2312"/>
        </w:rPr>
        <w:t>采购包最高限价（元）: 2,046,000.00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仪器设备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2,046,000.00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0"/>
                <w:b/>
              </w:rPr>
              <w:t>拟购设备一览表</w:t>
            </w:r>
          </w:p>
          <w:tbl>
            <w:tblPr>
              <w:tblBorders>
                <w:top w:val="none" w:color="000000" w:sz="4"/>
                <w:left w:val="none" w:color="000000" w:sz="4"/>
                <w:bottom w:val="none" w:color="000000" w:sz="4"/>
                <w:right w:val="none" w:color="000000" w:sz="4"/>
                <w:insideH w:val="none"/>
                <w:insideV w:val="none"/>
              </w:tblBorders>
            </w:tblPr>
            <w:tblGrid>
              <w:gridCol w:w="189"/>
              <w:gridCol w:w="783"/>
              <w:gridCol w:w="205"/>
              <w:gridCol w:w="910"/>
              <w:gridCol w:w="257"/>
              <w:gridCol w:w="193"/>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项目序号</w:t>
                  </w:r>
                </w:p>
              </w:tc>
              <w:tc>
                <w:tcPr>
                  <w:tcW w:type="dxa" w:w="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项目名称</w:t>
                  </w: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设备序号</w:t>
                  </w:r>
                </w:p>
              </w:tc>
              <w:tc>
                <w:tcPr>
                  <w:tcW w:type="dxa" w:w="9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数量（台</w:t>
                  </w:r>
                  <w:r>
                    <w:rPr>
                      <w:rFonts w:ascii="仿宋_GB2312" w:hAnsi="仿宋_GB2312" w:cs="仿宋_GB2312" w:eastAsia="仿宋_GB2312"/>
                      <w:sz w:val="21"/>
                      <w:b/>
                    </w:rPr>
                    <w:t>/套）</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备注</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w:t>
                  </w:r>
                </w:p>
              </w:tc>
              <w:tc>
                <w:tcPr>
                  <w:tcW w:type="dxa" w:w="7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新建过氧化氢测定仪校准装置</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过氧化氢气体发生器</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783"/>
                  <w:vMerge/>
                  <w:tcBorders>
                    <w:top w:val="non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过氧化氢气体精密分析仪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783"/>
                  <w:vMerge/>
                  <w:tcBorders>
                    <w:top w:val="non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便携式过氧化氢气体测定仪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粉尘浓度测定仪检定装置技术改造</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粉尘浓度测量仪</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臭氧分析仪检定装置技术改造</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臭氧分析仪检定装置</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w:t>
                  </w:r>
                </w:p>
              </w:tc>
              <w:tc>
                <w:tcPr>
                  <w:tcW w:type="dxa" w:w="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新建超细颗粒计数器检测能力</w:t>
                  </w: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9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凝结核粒子计数器</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bl>
          <w:p>
            <w:pPr>
              <w:pStyle w:val="null3"/>
              <w:jc w:val="center"/>
            </w:pPr>
            <w:r>
              <w:rPr>
                <w:rFonts w:ascii="仿宋_GB2312" w:hAnsi="仿宋_GB2312" w:cs="仿宋_GB2312" w:eastAsia="仿宋_GB2312"/>
                <w:sz w:val="30"/>
                <w:b/>
              </w:rPr>
              <w:t>拟购设备技术要求</w:t>
            </w:r>
          </w:p>
          <w:p>
            <w:pPr>
              <w:pStyle w:val="null3"/>
              <w:jc w:val="center"/>
            </w:pPr>
            <w:r>
              <w:rPr>
                <w:rFonts w:ascii="仿宋_GB2312" w:hAnsi="仿宋_GB2312" w:cs="仿宋_GB2312" w:eastAsia="仿宋_GB2312"/>
                <w:sz w:val="24"/>
                <w:b/>
              </w:rPr>
              <w:t>项目一</w:t>
            </w:r>
            <w:r>
              <w:rPr>
                <w:rFonts w:ascii="仿宋_GB2312" w:hAnsi="仿宋_GB2312" w:cs="仿宋_GB2312" w:eastAsia="仿宋_GB2312"/>
                <w:sz w:val="21"/>
                <w:b/>
              </w:rPr>
              <w:t xml:space="preserve">  </w:t>
            </w:r>
            <w:r>
              <w:rPr>
                <w:rFonts w:ascii="仿宋_GB2312" w:hAnsi="仿宋_GB2312" w:cs="仿宋_GB2312" w:eastAsia="仿宋_GB2312"/>
                <w:sz w:val="24"/>
                <w:b/>
              </w:rPr>
              <w:t>新建过氧化氢测定仪校准装置</w:t>
            </w:r>
          </w:p>
          <w:p>
            <w:pPr>
              <w:pStyle w:val="null3"/>
              <w:jc w:val="left"/>
            </w:pPr>
            <w:r>
              <w:rPr>
                <w:rFonts w:ascii="仿宋_GB2312" w:hAnsi="仿宋_GB2312" w:cs="仿宋_GB2312" w:eastAsia="仿宋_GB2312"/>
                <w:sz w:val="21"/>
              </w:rPr>
              <w:t>一、过氧化氢气体发生器</w:t>
            </w:r>
          </w:p>
          <w:p>
            <w:pPr>
              <w:pStyle w:val="null3"/>
              <w:jc w:val="left"/>
            </w:pPr>
            <w:r>
              <w:rPr>
                <w:rFonts w:ascii="仿宋_GB2312" w:hAnsi="仿宋_GB2312" w:cs="仿宋_GB2312" w:eastAsia="仿宋_GB2312"/>
                <w:sz w:val="21"/>
              </w:rPr>
              <w:t>1.1 标准气体</w:t>
            </w:r>
            <w:r>
              <w:rPr>
                <w:rFonts w:ascii="仿宋_GB2312" w:hAnsi="仿宋_GB2312" w:cs="仿宋_GB2312" w:eastAsia="仿宋_GB2312"/>
                <w:sz w:val="21"/>
              </w:rPr>
              <w:t>发生范围（</w:t>
            </w:r>
            <w:r>
              <w:rPr>
                <w:rFonts w:ascii="仿宋_GB2312" w:hAnsi="仿宋_GB2312" w:cs="仿宋_GB2312" w:eastAsia="仿宋_GB2312"/>
                <w:sz w:val="21"/>
              </w:rPr>
              <w:t>200~2000）μmol/mol；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 稳定性：1 h 稳定性不超过1%；8 h 稳定性不超过3%；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 输出气体流量：≥1.5 L/min；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 输出气体管路：1m，具有保温功能</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 产生</w:t>
            </w:r>
            <w:r>
              <w:rPr>
                <w:rFonts w:ascii="仿宋_GB2312" w:hAnsi="仿宋_GB2312" w:cs="仿宋_GB2312" w:eastAsia="仿宋_GB2312"/>
                <w:sz w:val="21"/>
              </w:rPr>
              <w:t>过氧化氢气体的原料：过氧化氢水溶液</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w:t>
            </w:r>
            <w:r>
              <w:rPr>
                <w:rFonts w:ascii="仿宋_GB2312" w:hAnsi="仿宋_GB2312" w:cs="仿宋_GB2312" w:eastAsia="仿宋_GB2312"/>
                <w:sz w:val="21"/>
              </w:rPr>
              <w:t>过氧化氢气体发生方法：连续动态发生和稀释；</w:t>
            </w:r>
          </w:p>
          <w:p>
            <w:pPr>
              <w:pStyle w:val="null3"/>
              <w:jc w:val="left"/>
            </w:pPr>
            <w:r>
              <w:rPr>
                <w:rFonts w:ascii="仿宋_GB2312" w:hAnsi="仿宋_GB2312" w:cs="仿宋_GB2312" w:eastAsia="仿宋_GB2312"/>
                <w:sz w:val="21"/>
              </w:rPr>
              <w:t>1.7过氧化氢气体设定浓度值响应时间：≤5 min；</w:t>
            </w:r>
          </w:p>
          <w:p>
            <w:pPr>
              <w:pStyle w:val="null3"/>
              <w:jc w:val="left"/>
            </w:pPr>
            <w:r>
              <w:rPr>
                <w:rFonts w:ascii="仿宋_GB2312" w:hAnsi="仿宋_GB2312" w:cs="仿宋_GB2312" w:eastAsia="仿宋_GB2312"/>
                <w:sz w:val="21"/>
              </w:rPr>
              <w:t>1.8 过氧化氢气体发生器重量：≤35 kg；</w:t>
            </w:r>
          </w:p>
          <w:p>
            <w:pPr>
              <w:pStyle w:val="null3"/>
              <w:jc w:val="left"/>
            </w:pPr>
            <w:r>
              <w:rPr>
                <w:rFonts w:ascii="仿宋_GB2312" w:hAnsi="仿宋_GB2312" w:cs="仿宋_GB2312" w:eastAsia="仿宋_GB2312"/>
                <w:sz w:val="21"/>
              </w:rPr>
              <w:t>1.9</w:t>
            </w:r>
            <w:r>
              <w:rPr>
                <w:rFonts w:ascii="仿宋_GB2312" w:hAnsi="仿宋_GB2312" w:cs="仿宋_GB2312" w:eastAsia="仿宋_GB2312"/>
                <w:sz w:val="21"/>
              </w:rPr>
              <w:t xml:space="preserve"> </w:t>
            </w:r>
            <w:r>
              <w:rPr>
                <w:rFonts w:ascii="仿宋_GB2312" w:hAnsi="仿宋_GB2312" w:cs="仿宋_GB2312" w:eastAsia="仿宋_GB2312"/>
                <w:sz w:val="21"/>
              </w:rPr>
              <w:t>配套无油压缩空气源，输出空气流量：</w:t>
            </w:r>
            <w:r>
              <w:rPr>
                <w:rFonts w:ascii="仿宋_GB2312" w:hAnsi="仿宋_GB2312" w:cs="仿宋_GB2312" w:eastAsia="仿宋_GB2312"/>
                <w:sz w:val="21"/>
              </w:rPr>
              <w:t>≥50 L/min；输出空气压力：≥0.3 MPa</w:t>
            </w:r>
          </w:p>
          <w:p>
            <w:pPr>
              <w:pStyle w:val="null3"/>
              <w:jc w:val="left"/>
            </w:pPr>
            <w:r>
              <w:rPr>
                <w:rFonts w:ascii="仿宋_GB2312" w:hAnsi="仿宋_GB2312" w:cs="仿宋_GB2312" w:eastAsia="仿宋_GB2312"/>
                <w:sz w:val="21"/>
              </w:rPr>
              <w:t>1.10 溯源证明性文件：供货时提供国家院校准证书；</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left"/>
            </w:pPr>
            <w:r>
              <w:rPr>
                <w:rFonts w:ascii="仿宋_GB2312" w:hAnsi="仿宋_GB2312" w:cs="仿宋_GB2312" w:eastAsia="仿宋_GB2312"/>
                <w:sz w:val="21"/>
              </w:rPr>
              <w:t>1.11 提供不低于 5 人次的培训；</w:t>
            </w:r>
          </w:p>
          <w:p>
            <w:pPr>
              <w:pStyle w:val="null3"/>
              <w:jc w:val="left"/>
            </w:pPr>
            <w:r>
              <w:rPr>
                <w:rFonts w:ascii="仿宋_GB2312" w:hAnsi="仿宋_GB2312" w:cs="仿宋_GB2312" w:eastAsia="仿宋_GB2312"/>
                <w:sz w:val="21"/>
              </w:rPr>
              <w:t>1.12 质保期不低于 1 年，提供长期的技术支持和维护保养服务。</w:t>
            </w:r>
          </w:p>
          <w:p>
            <w:pPr>
              <w:pStyle w:val="null3"/>
              <w:jc w:val="left"/>
            </w:pPr>
            <w:r>
              <w:rPr>
                <w:rFonts w:ascii="仿宋_GB2312" w:hAnsi="仿宋_GB2312" w:cs="仿宋_GB2312" w:eastAsia="仿宋_GB2312"/>
                <w:sz w:val="21"/>
              </w:rPr>
              <w:t>二、过氧化氢气体精密分析仪</w:t>
            </w:r>
          </w:p>
          <w:p>
            <w:pPr>
              <w:pStyle w:val="null3"/>
              <w:jc w:val="left"/>
            </w:pPr>
            <w:r>
              <w:rPr>
                <w:rFonts w:ascii="仿宋_GB2312" w:hAnsi="仿宋_GB2312" w:cs="仿宋_GB2312" w:eastAsia="仿宋_GB2312"/>
                <w:sz w:val="21"/>
              </w:rPr>
              <w:t>2.1 测量范围：（200~2000）μmol/mol；</w:t>
            </w:r>
          </w:p>
          <w:p>
            <w:pPr>
              <w:pStyle w:val="null3"/>
              <w:jc w:val="left"/>
            </w:pPr>
            <w:r>
              <w:rPr>
                <w:rFonts w:ascii="仿宋_GB2312" w:hAnsi="仿宋_GB2312" w:cs="仿宋_GB2312" w:eastAsia="仿宋_GB2312"/>
                <w:sz w:val="21"/>
              </w:rPr>
              <w:t>2.2 重复性：不大于 0.2%；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2.3 稳定性：8 h 稳定性不大于 1%；</w:t>
            </w:r>
          </w:p>
          <w:p>
            <w:pPr>
              <w:pStyle w:val="null3"/>
              <w:jc w:val="left"/>
            </w:pPr>
            <w:r>
              <w:rPr>
                <w:rFonts w:ascii="仿宋_GB2312" w:hAnsi="仿宋_GB2312" w:cs="仿宋_GB2312" w:eastAsia="仿宋_GB2312"/>
                <w:sz w:val="21"/>
              </w:rPr>
              <w:t>2.4 不确定度：相对扩展不确定度优于或等于 2.0%，</w:t>
            </w:r>
            <w:r>
              <w:rPr>
                <w:rFonts w:ascii="仿宋_GB2312" w:hAnsi="仿宋_GB2312" w:cs="仿宋_GB2312" w:eastAsia="仿宋_GB2312"/>
                <w:sz w:val="21"/>
                <w:i/>
              </w:rPr>
              <w:t>k</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2.5溯源证明性文件：供货时提供国家院校准证书；</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left"/>
            </w:pPr>
            <w:r>
              <w:rPr>
                <w:rFonts w:ascii="仿宋_GB2312" w:hAnsi="仿宋_GB2312" w:cs="仿宋_GB2312" w:eastAsia="仿宋_GB2312"/>
                <w:sz w:val="21"/>
              </w:rPr>
              <w:t>2.6 提供不低于 5 人次的培训；</w:t>
            </w:r>
          </w:p>
          <w:p>
            <w:pPr>
              <w:pStyle w:val="null3"/>
              <w:jc w:val="left"/>
            </w:pPr>
            <w:r>
              <w:rPr>
                <w:rFonts w:ascii="仿宋_GB2312" w:hAnsi="仿宋_GB2312" w:cs="仿宋_GB2312" w:eastAsia="仿宋_GB2312"/>
                <w:sz w:val="21"/>
              </w:rPr>
              <w:t>2.7 质保期不低于 1 年，提供长期的技术支持和维护保养服务。</w:t>
            </w:r>
          </w:p>
          <w:p>
            <w:pPr>
              <w:pStyle w:val="null3"/>
              <w:jc w:val="left"/>
            </w:pPr>
            <w:r>
              <w:rPr>
                <w:rFonts w:ascii="仿宋_GB2312" w:hAnsi="仿宋_GB2312" w:cs="仿宋_GB2312" w:eastAsia="仿宋_GB2312"/>
                <w:sz w:val="21"/>
              </w:rPr>
              <w:t>三、便携式过氧化氢测定仪</w:t>
            </w:r>
          </w:p>
          <w:p>
            <w:pPr>
              <w:pStyle w:val="null3"/>
              <w:jc w:val="left"/>
            </w:pPr>
            <w:r>
              <w:rPr>
                <w:rFonts w:ascii="仿宋_GB2312" w:hAnsi="仿宋_GB2312" w:cs="仿宋_GB2312" w:eastAsia="仿宋_GB2312"/>
                <w:sz w:val="21"/>
              </w:rPr>
              <w:t>3.1测量范围覆盖（200~2000）μmol/mol；</w:t>
            </w:r>
          </w:p>
          <w:p>
            <w:pPr>
              <w:pStyle w:val="null3"/>
              <w:jc w:val="left"/>
            </w:pPr>
            <w:r>
              <w:rPr>
                <w:rFonts w:ascii="仿宋_GB2312" w:hAnsi="仿宋_GB2312" w:cs="仿宋_GB2312" w:eastAsia="仿宋_GB2312"/>
                <w:sz w:val="21"/>
              </w:rPr>
              <w:t>3.2示值误差：不超过±8%；</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3.3重复性：不大于 2%。</w:t>
            </w:r>
          </w:p>
          <w:p>
            <w:pPr>
              <w:pStyle w:val="null3"/>
              <w:jc w:val="left"/>
            </w:pPr>
            <w:r>
              <w:rPr>
                <w:rFonts w:ascii="仿宋_GB2312" w:hAnsi="仿宋_GB2312" w:cs="仿宋_GB2312" w:eastAsia="仿宋_GB2312"/>
                <w:sz w:val="21"/>
              </w:rPr>
              <w:t>3.4溯源证明性文件：供货时提供国家院校准证书；</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left"/>
            </w:pPr>
            <w:r>
              <w:rPr>
                <w:rFonts w:ascii="仿宋_GB2312" w:hAnsi="仿宋_GB2312" w:cs="仿宋_GB2312" w:eastAsia="仿宋_GB2312"/>
                <w:sz w:val="21"/>
              </w:rPr>
              <w:t>3.5质保期不低于 1 年，提供长期的技术支持和维护保养服务。</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二</w:t>
            </w:r>
            <w:r>
              <w:rPr>
                <w:rFonts w:ascii="仿宋_GB2312" w:hAnsi="仿宋_GB2312" w:cs="仿宋_GB2312" w:eastAsia="仿宋_GB2312"/>
                <w:sz w:val="24"/>
                <w:b/>
              </w:rPr>
              <w:t>粉尘浓度测定仪检定装置技术改造</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粉尘浓度测量仪</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同时测量</w:t>
            </w:r>
            <w:r>
              <w:rPr>
                <w:rFonts w:ascii="仿宋_GB2312" w:hAnsi="仿宋_GB2312" w:cs="仿宋_GB2312" w:eastAsia="仿宋_GB2312"/>
                <w:sz w:val="21"/>
              </w:rPr>
              <w:t>PM1</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PM2.5</w:t>
            </w:r>
            <w:r>
              <w:rPr>
                <w:rFonts w:ascii="仿宋_GB2312" w:hAnsi="仿宋_GB2312" w:cs="仿宋_GB2312" w:eastAsia="仿宋_GB2312"/>
                <w:sz w:val="21"/>
              </w:rPr>
              <w:t>、</w:t>
            </w:r>
            <w:r>
              <w:rPr>
                <w:rFonts w:ascii="仿宋_GB2312" w:hAnsi="仿宋_GB2312" w:cs="仿宋_GB2312" w:eastAsia="仿宋_GB2312"/>
                <w:sz w:val="21"/>
              </w:rPr>
              <w:t>可吸入颗粒物</w:t>
            </w:r>
            <w:r>
              <w:rPr>
                <w:rFonts w:ascii="仿宋_GB2312" w:hAnsi="仿宋_GB2312" w:cs="仿宋_GB2312" w:eastAsia="仿宋_GB2312"/>
                <w:sz w:val="21"/>
              </w:rPr>
              <w:t>、</w:t>
            </w:r>
            <w:r>
              <w:rPr>
                <w:rFonts w:ascii="仿宋_GB2312" w:hAnsi="仿宋_GB2312" w:cs="仿宋_GB2312" w:eastAsia="仿宋_GB2312"/>
                <w:sz w:val="21"/>
              </w:rPr>
              <w:t>PM10 和TPM（15</w:t>
            </w:r>
            <w:r>
              <w:rPr>
                <w:rFonts w:ascii="仿宋_GB2312" w:hAnsi="仿宋_GB2312" w:cs="仿宋_GB2312" w:eastAsia="仿宋_GB2312"/>
                <w:sz w:val="21"/>
              </w:rPr>
              <w:t xml:space="preserve"> </w:t>
            </w:r>
            <w:r>
              <w:rPr>
                <w:rFonts w:ascii="仿宋_GB2312" w:hAnsi="仿宋_GB2312" w:cs="仿宋_GB2312" w:eastAsia="仿宋_GB2312"/>
                <w:sz w:val="21"/>
              </w:rPr>
              <w:t>μm）的质量浓度，支持显示质量浓度的趋势图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2、传感器</w:t>
            </w:r>
            <w:r>
              <w:rPr>
                <w:rFonts w:ascii="仿宋_GB2312" w:hAnsi="仿宋_GB2312" w:cs="仿宋_GB2312" w:eastAsia="仿宋_GB2312"/>
                <w:sz w:val="21"/>
              </w:rPr>
              <w:t>类型：</w:t>
            </w:r>
            <w:r>
              <w:rPr>
                <w:rFonts w:ascii="仿宋_GB2312" w:hAnsi="仿宋_GB2312" w:cs="仿宋_GB2312" w:eastAsia="仿宋_GB2312"/>
                <w:sz w:val="21"/>
              </w:rPr>
              <w:t>90度光散射，具有鞘气保护气路</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3、浓度</w:t>
            </w:r>
            <w:r>
              <w:rPr>
                <w:rFonts w:ascii="仿宋_GB2312" w:hAnsi="仿宋_GB2312" w:cs="仿宋_GB2312" w:eastAsia="仿宋_GB2312"/>
                <w:sz w:val="21"/>
              </w:rPr>
              <w:t>范围：</w:t>
            </w:r>
            <w:r>
              <w:rPr>
                <w:rFonts w:ascii="仿宋_GB2312" w:hAnsi="仿宋_GB2312" w:cs="仿宋_GB2312" w:eastAsia="仿宋_GB2312"/>
                <w:sz w:val="21"/>
              </w:rPr>
              <w:t>（</w:t>
            </w:r>
            <w:r>
              <w:rPr>
                <w:rFonts w:ascii="仿宋_GB2312" w:hAnsi="仿宋_GB2312" w:cs="仿宋_GB2312" w:eastAsia="仿宋_GB2312"/>
                <w:sz w:val="21"/>
              </w:rPr>
              <w:t>0.001</w:t>
            </w:r>
            <w:r>
              <w:rPr>
                <w:rFonts w:ascii="仿宋_GB2312" w:hAnsi="仿宋_GB2312" w:cs="仿宋_GB2312" w:eastAsia="仿宋_GB2312"/>
                <w:sz w:val="21"/>
              </w:rPr>
              <w:t>~</w:t>
            </w:r>
            <w:r>
              <w:rPr>
                <w:rFonts w:ascii="仿宋_GB2312" w:hAnsi="仿宋_GB2312" w:cs="仿宋_GB2312" w:eastAsia="仿宋_GB2312"/>
                <w:sz w:val="21"/>
              </w:rPr>
              <w:t>150</w:t>
            </w:r>
            <w:r>
              <w:rPr>
                <w:rFonts w:ascii="仿宋_GB2312" w:hAnsi="仿宋_GB2312" w:cs="仿宋_GB2312" w:eastAsia="仿宋_GB2312"/>
                <w:sz w:val="21"/>
              </w:rPr>
              <w:t>）</w:t>
            </w:r>
            <w:r>
              <w:rPr>
                <w:rFonts w:ascii="仿宋_GB2312" w:hAnsi="仿宋_GB2312" w:cs="仿宋_GB2312" w:eastAsia="仿宋_GB2312"/>
                <w:sz w:val="21"/>
              </w:rPr>
              <w:t>mg/m</w:t>
            </w:r>
            <w:r>
              <w:rPr>
                <w:rFonts w:ascii="仿宋_GB2312" w:hAnsi="仿宋_GB2312" w:cs="仿宋_GB2312" w:eastAsia="仿宋_GB2312"/>
                <w:sz w:val="21"/>
                <w:vertAlign w:val="superscript"/>
              </w:rPr>
              <w:t>3</w:t>
            </w:r>
            <w:r>
              <w:rPr>
                <w:rFonts w:ascii="仿宋_GB2312" w:hAnsi="仿宋_GB2312" w:cs="仿宋_GB2312" w:eastAsia="仿宋_GB2312"/>
                <w:sz w:val="21"/>
              </w:rPr>
              <w:t>（符合</w:t>
            </w:r>
            <w:r>
              <w:rPr>
                <w:rFonts w:ascii="仿宋_GB2312" w:hAnsi="仿宋_GB2312" w:cs="仿宋_GB2312" w:eastAsia="仿宋_GB2312"/>
                <w:sz w:val="21"/>
              </w:rPr>
              <w:t>ISO12103 A1 尘</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4、粒径</w:t>
            </w:r>
            <w:r>
              <w:rPr>
                <w:rFonts w:ascii="仿宋_GB2312" w:hAnsi="仿宋_GB2312" w:cs="仿宋_GB2312" w:eastAsia="仿宋_GB2312"/>
                <w:sz w:val="21"/>
              </w:rPr>
              <w:t>范围：</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5、重复性：不大于3%；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分辨率：读数</w:t>
            </w:r>
            <w:r>
              <w:rPr>
                <w:rFonts w:ascii="仿宋_GB2312" w:hAnsi="仿宋_GB2312" w:cs="仿宋_GB2312" w:eastAsia="仿宋_GB2312"/>
                <w:sz w:val="21"/>
              </w:rPr>
              <w:t>0.1%或0.001</w:t>
            </w:r>
            <w:r>
              <w:rPr>
                <w:rFonts w:ascii="仿宋_GB2312" w:hAnsi="仿宋_GB2312" w:cs="仿宋_GB2312" w:eastAsia="仿宋_GB2312"/>
                <w:sz w:val="21"/>
              </w:rPr>
              <w:t xml:space="preserve"> </w:t>
            </w:r>
            <w:r>
              <w:rPr>
                <w:rFonts w:ascii="仿宋_GB2312" w:hAnsi="仿宋_GB2312" w:cs="仿宋_GB2312" w:eastAsia="仿宋_GB2312"/>
                <w:sz w:val="21"/>
              </w:rPr>
              <w:t>mg/m</w:t>
            </w:r>
            <w:r>
              <w:rPr>
                <w:rFonts w:ascii="仿宋_GB2312" w:hAnsi="仿宋_GB2312" w:cs="仿宋_GB2312" w:eastAsia="仿宋_GB2312"/>
                <w:sz w:val="21"/>
                <w:vertAlign w:val="superscript"/>
              </w:rPr>
              <w:t>3</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体积小，便于携带</w:t>
            </w:r>
            <w:r>
              <w:rPr>
                <w:rFonts w:ascii="仿宋_GB2312" w:hAnsi="仿宋_GB2312" w:cs="仿宋_GB2312" w:eastAsia="仿宋_GB2312"/>
                <w:sz w:val="21"/>
              </w:rPr>
              <w:t>，</w:t>
            </w:r>
            <w:r>
              <w:rPr>
                <w:rFonts w:ascii="仿宋_GB2312" w:hAnsi="仿宋_GB2312" w:cs="仿宋_GB2312" w:eastAsia="仿宋_GB2312"/>
                <w:sz w:val="21"/>
              </w:rPr>
              <w:t>重量不超过</w:t>
            </w:r>
            <w:r>
              <w:rPr>
                <w:rFonts w:ascii="仿宋_GB2312" w:hAnsi="仿宋_GB2312" w:cs="仿宋_GB2312" w:eastAsia="仿宋_GB2312"/>
                <w:sz w:val="21"/>
              </w:rPr>
              <w:t>2.0</w:t>
            </w:r>
            <w:r>
              <w:rPr>
                <w:rFonts w:ascii="仿宋_GB2312" w:hAnsi="仿宋_GB2312" w:cs="仿宋_GB2312" w:eastAsia="仿宋_GB2312"/>
                <w:sz w:val="21"/>
              </w:rPr>
              <w:t xml:space="preserve"> </w:t>
            </w:r>
            <w:r>
              <w:rPr>
                <w:rFonts w:ascii="仿宋_GB2312" w:hAnsi="仿宋_GB2312" w:cs="仿宋_GB2312" w:eastAsia="仿宋_GB2312"/>
                <w:sz w:val="21"/>
              </w:rPr>
              <w:t>kg</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含电池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称重采样：支持</w:t>
            </w:r>
            <w:r>
              <w:rPr>
                <w:rFonts w:ascii="仿宋_GB2312" w:hAnsi="仿宋_GB2312" w:cs="仿宋_GB2312" w:eastAsia="仿宋_GB2312"/>
                <w:sz w:val="21"/>
              </w:rPr>
              <w:t>37</w:t>
            </w:r>
            <w:r>
              <w:rPr>
                <w:rFonts w:ascii="仿宋_GB2312" w:hAnsi="仿宋_GB2312" w:cs="仿宋_GB2312" w:eastAsia="仿宋_GB2312"/>
                <w:sz w:val="21"/>
              </w:rPr>
              <w:t xml:space="preserve"> </w:t>
            </w:r>
            <w:r>
              <w:rPr>
                <w:rFonts w:ascii="仿宋_GB2312" w:hAnsi="仿宋_GB2312" w:cs="仿宋_GB2312" w:eastAsia="仿宋_GB2312"/>
                <w:sz w:val="21"/>
              </w:rPr>
              <w:t>mm 滤盒</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流量：</w:t>
            </w:r>
            <w:r>
              <w:rPr>
                <w:rFonts w:ascii="仿宋_GB2312" w:hAnsi="仿宋_GB2312" w:cs="仿宋_GB2312" w:eastAsia="仿宋_GB2312"/>
                <w:sz w:val="21"/>
              </w:rPr>
              <w:t>3.0</w:t>
            </w:r>
            <w:r>
              <w:rPr>
                <w:rFonts w:ascii="仿宋_GB2312" w:hAnsi="仿宋_GB2312" w:cs="仿宋_GB2312" w:eastAsia="仿宋_GB2312"/>
                <w:sz w:val="21"/>
              </w:rPr>
              <w:t xml:space="preserve"> </w:t>
            </w:r>
            <w:r>
              <w:rPr>
                <w:rFonts w:ascii="仿宋_GB2312" w:hAnsi="仿宋_GB2312" w:cs="仿宋_GB2312" w:eastAsia="仿宋_GB2312"/>
                <w:sz w:val="21"/>
              </w:rPr>
              <w:t>L/min（可调）</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数据采集数据点：</w:t>
            </w:r>
            <w:r>
              <w:rPr>
                <w:rFonts w:ascii="仿宋_GB2312" w:hAnsi="仿宋_GB2312" w:cs="仿宋_GB2312" w:eastAsia="仿宋_GB2312"/>
                <w:sz w:val="21"/>
              </w:rPr>
              <w:t>&gt;60000 个 (每分钟一次，最少可以采样45天)</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通讯接口：</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以太网，支持</w:t>
            </w:r>
            <w:r>
              <w:rPr>
                <w:rFonts w:ascii="仿宋_GB2312" w:hAnsi="仿宋_GB2312" w:cs="仿宋_GB2312" w:eastAsia="仿宋_GB2312"/>
                <w:sz w:val="21"/>
              </w:rPr>
              <w:t>U盘</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仪器可使用锂电池工作</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13、</w:t>
            </w:r>
            <w:r>
              <w:rPr>
                <w:rFonts w:ascii="仿宋_GB2312" w:hAnsi="仿宋_GB2312" w:cs="仿宋_GB2312" w:eastAsia="仿宋_GB2312"/>
                <w:sz w:val="21"/>
              </w:rPr>
              <w:t>提供针对城市特性大气的校准系数</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显示屏：彩色触摸屏（显示激光</w:t>
            </w:r>
            <w:r>
              <w:rPr>
                <w:rFonts w:ascii="仿宋_GB2312" w:hAnsi="仿宋_GB2312" w:cs="仿宋_GB2312" w:eastAsia="仿宋_GB2312"/>
                <w:sz w:val="21"/>
              </w:rPr>
              <w:t>、</w:t>
            </w:r>
            <w:r>
              <w:rPr>
                <w:rFonts w:ascii="仿宋_GB2312" w:hAnsi="仿宋_GB2312" w:cs="仿宋_GB2312" w:eastAsia="仿宋_GB2312"/>
                <w:sz w:val="21"/>
              </w:rPr>
              <w:t>流量的状态）</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15、溯源性文件：供货时提供中国计量科学研究院提供的校准证书，符合参考粉尘仪要求；</w:t>
            </w:r>
            <w:r>
              <w:rPr>
                <w:rFonts w:ascii="仿宋_GB2312" w:hAnsi="仿宋_GB2312" w:cs="仿宋_GB2312" w:eastAsia="仿宋_GB2312"/>
                <w:sz w:val="21"/>
              </w:rPr>
              <w:t>（</w:t>
            </w:r>
            <w:r>
              <w:rPr>
                <w:rFonts w:ascii="仿宋_GB2312" w:hAnsi="仿宋_GB2312" w:cs="仿宋_GB2312" w:eastAsia="仿宋_GB2312"/>
                <w:sz w:val="21"/>
              </w:rPr>
              <w:t>供应商提供承诺）</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16、安装、调试与人员培训：装置调试至正常工作状态后，进行不少于5人次的人员培训；</w:t>
            </w:r>
          </w:p>
          <w:p>
            <w:pPr>
              <w:pStyle w:val="null3"/>
              <w:jc w:val="left"/>
            </w:pPr>
            <w:r>
              <w:rPr>
                <w:rFonts w:ascii="仿宋_GB2312" w:hAnsi="仿宋_GB2312" w:cs="仿宋_GB2312" w:eastAsia="仿宋_GB2312"/>
                <w:sz w:val="21"/>
              </w:rPr>
              <w:t>17、具备远程无线数据采集模块；</w:t>
            </w:r>
          </w:p>
          <w:p>
            <w:pPr>
              <w:pStyle w:val="null3"/>
              <w:jc w:val="left"/>
            </w:pPr>
            <w:r>
              <w:rPr>
                <w:rFonts w:ascii="仿宋_GB2312" w:hAnsi="仿宋_GB2312" w:cs="仿宋_GB2312" w:eastAsia="仿宋_GB2312"/>
                <w:sz w:val="21"/>
              </w:rPr>
              <w:t>18、售后服务：提供长期的技术支持和维护保养服务。</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三</w:t>
            </w:r>
            <w:r>
              <w:rPr>
                <w:rFonts w:ascii="仿宋_GB2312" w:hAnsi="仿宋_GB2312" w:cs="仿宋_GB2312" w:eastAsia="仿宋_GB2312"/>
                <w:sz w:val="24"/>
                <w:b/>
              </w:rPr>
              <w:t>臭氧分析仪检定装置技术改造</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臭氧分析仪检定装置</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臭氧浓度发生范围：可覆盖（</w:t>
            </w:r>
            <w:r>
              <w:rPr>
                <w:rFonts w:ascii="仿宋_GB2312" w:hAnsi="仿宋_GB2312" w:cs="仿宋_GB2312" w:eastAsia="仿宋_GB2312"/>
                <w:sz w:val="21"/>
              </w:rPr>
              <w:t>1~400）μmol/mol，并能拓展至1000 μmol/mol；★</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最大允许误差：</w:t>
            </w:r>
            <w:r>
              <w:rPr>
                <w:rFonts w:ascii="仿宋_GB2312" w:hAnsi="仿宋_GB2312" w:cs="仿宋_GB2312" w:eastAsia="仿宋_GB2312"/>
                <w:sz w:val="21"/>
              </w:rPr>
              <w:t>(</w:t>
            </w:r>
            <w:r>
              <w:rPr>
                <w:rFonts w:ascii="仿宋_GB2312" w:hAnsi="仿宋_GB2312" w:cs="仿宋_GB2312" w:eastAsia="仿宋_GB2312"/>
                <w:sz w:val="21"/>
              </w:rPr>
              <w:t>0</w:t>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μmol/mol浓度示值误差不超过±2.0%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1~400）μmol/mol浓度示值误差不超过±4%；★</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输出气体流量：</w:t>
            </w:r>
            <w:r>
              <w:rPr>
                <w:rFonts w:ascii="仿宋_GB2312" w:hAnsi="仿宋_GB2312" w:cs="仿宋_GB2312" w:eastAsia="仿宋_GB2312"/>
                <w:sz w:val="21"/>
              </w:rPr>
              <w:t>≥1 L/min；★</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产生臭氧方式：紫外线照射空气或氮中氧气体；</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臭氧浓度定值方式：内置紫外光度计；</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臭氧气体湿度：既可以为干气，也可以为湿气，有湿度显示；</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所供货物为全套装置，包含但不限于的附件有：零空气发生器、氧气发生器、携带箱等；</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供电要求：</w:t>
            </w:r>
            <w:r>
              <w:rPr>
                <w:rFonts w:ascii="仿宋_GB2312" w:hAnsi="仿宋_GB2312" w:cs="仿宋_GB2312" w:eastAsia="仿宋_GB2312"/>
                <w:sz w:val="21"/>
              </w:rPr>
              <w:t>220V，50Hz；</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溯源证明性文件：</w:t>
            </w:r>
            <w:r>
              <w:rPr>
                <w:rFonts w:ascii="仿宋_GB2312" w:hAnsi="仿宋_GB2312" w:cs="仿宋_GB2312" w:eastAsia="仿宋_GB2312"/>
                <w:sz w:val="21"/>
              </w:rPr>
              <w:t>供货时提供</w:t>
            </w:r>
            <w:r>
              <w:rPr>
                <w:rFonts w:ascii="仿宋_GB2312" w:hAnsi="仿宋_GB2312" w:cs="仿宋_GB2312" w:eastAsia="仿宋_GB2312"/>
                <w:sz w:val="21"/>
              </w:rPr>
              <w:t>中国计量科学研究院校准证书；</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left"/>
            </w:pPr>
            <w:r>
              <w:rPr>
                <w:rFonts w:ascii="仿宋_GB2312" w:hAnsi="仿宋_GB2312" w:cs="仿宋_GB2312" w:eastAsia="仿宋_GB2312"/>
                <w:sz w:val="21"/>
              </w:rPr>
              <w:t>10、</w:t>
            </w:r>
            <w:r>
              <w:rPr>
                <w:rFonts w:ascii="仿宋_GB2312" w:hAnsi="仿宋_GB2312" w:cs="仿宋_GB2312" w:eastAsia="仿宋_GB2312"/>
                <w:sz w:val="21"/>
              </w:rPr>
              <w:t>质保期不低于</w:t>
            </w:r>
            <w:r>
              <w:rPr>
                <w:rFonts w:ascii="仿宋_GB2312" w:hAnsi="仿宋_GB2312" w:cs="仿宋_GB2312" w:eastAsia="仿宋_GB2312"/>
                <w:sz w:val="21"/>
              </w:rPr>
              <w:t>1年，并进行不低于5人次的培训；</w:t>
            </w:r>
          </w:p>
          <w:p>
            <w:pPr>
              <w:pStyle w:val="null3"/>
              <w:jc w:val="left"/>
            </w:pPr>
            <w:r>
              <w:rPr>
                <w:rFonts w:ascii="仿宋_GB2312" w:hAnsi="仿宋_GB2312" w:cs="仿宋_GB2312" w:eastAsia="仿宋_GB2312"/>
                <w:sz w:val="24"/>
                <w:b/>
              </w:rPr>
              <w:t>项目</w:t>
            </w:r>
            <w:r>
              <w:rPr>
                <w:rFonts w:ascii="仿宋_GB2312" w:hAnsi="仿宋_GB2312" w:cs="仿宋_GB2312" w:eastAsia="仿宋_GB2312"/>
                <w:sz w:val="24"/>
                <w:b/>
              </w:rPr>
              <w:t>四</w:t>
            </w:r>
            <w:r>
              <w:rPr>
                <w:rFonts w:ascii="仿宋_GB2312" w:hAnsi="仿宋_GB2312" w:cs="仿宋_GB2312" w:eastAsia="仿宋_GB2312"/>
                <w:sz w:val="24"/>
                <w:b/>
              </w:rPr>
              <w:t>新建超细颗粒计数器检测能力</w:t>
            </w:r>
          </w:p>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凝结核粒子计数器</w:t>
            </w:r>
          </w:p>
          <w:p>
            <w:pPr>
              <w:pStyle w:val="null3"/>
              <w:jc w:val="left"/>
            </w:pPr>
            <w:r>
              <w:rPr>
                <w:rFonts w:ascii="仿宋_GB2312" w:hAnsi="仿宋_GB2312" w:cs="仿宋_GB2312" w:eastAsia="仿宋_GB2312"/>
                <w:sz w:val="21"/>
              </w:rPr>
              <w:t>1、零点读数：</w:t>
            </w:r>
            <w:r>
              <w:rPr>
                <w:rFonts w:ascii="仿宋_GB2312" w:hAnsi="仿宋_GB2312" w:cs="仿宋_GB2312" w:eastAsia="仿宋_GB2312"/>
                <w:sz w:val="21"/>
              </w:rPr>
              <w:t>≤</w:t>
            </w:r>
            <w:r>
              <w:rPr>
                <w:rFonts w:ascii="仿宋_GB2312" w:hAnsi="仿宋_GB2312" w:cs="仿宋_GB2312" w:eastAsia="仿宋_GB2312"/>
                <w:sz w:val="21"/>
              </w:rPr>
              <w:t>1个cm</w:t>
            </w:r>
            <w:r>
              <w:rPr>
                <w:rFonts w:ascii="仿宋_GB2312" w:hAnsi="仿宋_GB2312" w:cs="仿宋_GB2312" w:eastAsia="仿宋_GB2312"/>
                <w:sz w:val="21"/>
                <w:vertAlign w:val="superscript"/>
              </w:rPr>
              <w:t>3</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2、流量示值误差：不超过±3%；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3、流量稳定性：&lt; 2%；</w:t>
            </w:r>
          </w:p>
          <w:p>
            <w:pPr>
              <w:pStyle w:val="null3"/>
              <w:jc w:val="left"/>
            </w:pPr>
            <w:r>
              <w:rPr>
                <w:rFonts w:ascii="仿宋_GB2312" w:hAnsi="仿宋_GB2312" w:cs="仿宋_GB2312" w:eastAsia="仿宋_GB2312"/>
                <w:sz w:val="21"/>
              </w:rPr>
              <w:t>4、计数效率：（100±5）%，不确定度优于或等于3% (</w:t>
            </w:r>
            <w:r>
              <w:rPr>
                <w:rFonts w:ascii="仿宋_GB2312" w:hAnsi="仿宋_GB2312" w:cs="仿宋_GB2312" w:eastAsia="仿宋_GB2312"/>
                <w:sz w:val="21"/>
                <w:i/>
              </w:rPr>
              <w:t>k</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5、颗粒计数重复性：≤2%；</w:t>
            </w:r>
          </w:p>
          <w:p>
            <w:pPr>
              <w:pStyle w:val="null3"/>
              <w:jc w:val="left"/>
            </w:pPr>
            <w:r>
              <w:rPr>
                <w:rFonts w:ascii="仿宋_GB2312" w:hAnsi="仿宋_GB2312" w:cs="仿宋_GB2312" w:eastAsia="仿宋_GB2312"/>
                <w:sz w:val="21"/>
              </w:rPr>
              <w:t>6、颗粒物直径范围：测量下限 7 nm (D50)，测量上限 &gt; 5 μm；</w:t>
            </w:r>
          </w:p>
          <w:p>
            <w:pPr>
              <w:pStyle w:val="null3"/>
              <w:jc w:val="left"/>
            </w:pPr>
            <w:r>
              <w:rPr>
                <w:rFonts w:ascii="仿宋_GB2312" w:hAnsi="仿宋_GB2312" w:cs="仿宋_GB2312" w:eastAsia="仿宋_GB2312"/>
                <w:sz w:val="21"/>
              </w:rPr>
              <w:t>7、颗粒物浓度范围：可达100000 粒子/cm</w:t>
            </w:r>
            <w:r>
              <w:rPr>
                <w:rFonts w:ascii="仿宋_GB2312" w:hAnsi="仿宋_GB2312" w:cs="仿宋_GB2312" w:eastAsia="仿宋_GB2312"/>
                <w:sz w:val="21"/>
                <w:vertAlign w:val="superscript"/>
              </w:rPr>
              <w:t>3</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8、液体系统：工作液为正丁醇；</w:t>
            </w:r>
          </w:p>
          <w:p>
            <w:pPr>
              <w:pStyle w:val="null3"/>
              <w:jc w:val="left"/>
            </w:pPr>
            <w:r>
              <w:rPr>
                <w:rFonts w:ascii="仿宋_GB2312" w:hAnsi="仿宋_GB2312" w:cs="仿宋_GB2312" w:eastAsia="仿宋_GB2312"/>
                <w:sz w:val="21"/>
              </w:rPr>
              <w:t>9、数据存储：50Hz 数据可以保存 1 年量；</w:t>
            </w:r>
          </w:p>
          <w:p>
            <w:pPr>
              <w:pStyle w:val="null3"/>
              <w:jc w:val="left"/>
            </w:pPr>
            <w:r>
              <w:rPr>
                <w:rFonts w:ascii="仿宋_GB2312" w:hAnsi="仿宋_GB2312" w:cs="仿宋_GB2312" w:eastAsia="仿宋_GB2312"/>
                <w:sz w:val="21"/>
              </w:rPr>
              <w:t>10、溯源性文件：供货时提供中国计量科学研究院的校准证书。</w:t>
            </w:r>
            <w:r>
              <w:rPr>
                <w:rFonts w:ascii="仿宋_GB2312" w:hAnsi="仿宋_GB2312" w:cs="仿宋_GB2312" w:eastAsia="仿宋_GB2312"/>
                <w:sz w:val="21"/>
              </w:rPr>
              <w:t>（</w:t>
            </w:r>
            <w:r>
              <w:rPr>
                <w:rFonts w:ascii="仿宋_GB2312" w:hAnsi="仿宋_GB2312" w:cs="仿宋_GB2312" w:eastAsia="仿宋_GB2312"/>
                <w:sz w:val="21"/>
              </w:rPr>
              <w:t>供应商提供承诺）</w:t>
            </w:r>
          </w:p>
          <w:p>
            <w:pPr>
              <w:pStyle w:val="null3"/>
              <w:jc w:val="left"/>
            </w:pPr>
            <w:r>
              <w:rPr>
                <w:rFonts w:ascii="仿宋_GB2312" w:hAnsi="仿宋_GB2312" w:cs="仿宋_GB2312" w:eastAsia="仿宋_GB2312"/>
                <w:sz w:val="21"/>
              </w:rPr>
              <w:t>11、安装、调试与人员培训：装置调试至正常工作状态后，进行不少于5人次的人员培训。</w:t>
            </w:r>
          </w:p>
          <w:p>
            <w:pPr>
              <w:pStyle w:val="null3"/>
              <w:jc w:val="left"/>
            </w:pPr>
            <w:r>
              <w:rPr>
                <w:rFonts w:ascii="仿宋_GB2312" w:hAnsi="仿宋_GB2312" w:cs="仿宋_GB2312" w:eastAsia="仿宋_GB2312"/>
                <w:sz w:val="21"/>
              </w:rPr>
              <w:t>12、售后服务：提供长期的技术支持和维护保养服务。</w:t>
            </w:r>
          </w:p>
          <w:p>
            <w:pPr>
              <w:pStyle w:val="null3"/>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自合同签订之日起六个月。供应商逾期交付货物的，每逾期1天，供应商向采购方偿付货款总额的5‱ 的滞纳金。如供应商逾期交货达60天，采购方有权解除合同，同时供应商应及时退还采购方预付款并向采购方支付合同总价 5 ％的违约金，解除合同的通知自到达供应商时生效。</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所有设备供货到位，经初步验收合格后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所有设备安装、调试、培训完成后，经甲方科学技术委员会验收合格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仪器到达用户指定地点后，采购方应在合理时间内组织与中标方共同开箱验货, 现场确认设备规格、型号等问题。货物经过验收后中标方可进行安装、调试，达到使用条件后，由采购方负责组织验收，或者邀请有关专家、质检机构等共同进行验收；通过验收的应填写验收表，并交接全部项目资料。验收以合同、招标文件、投标文件、证书、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算，以仪器设备详细技术要求中各产品技术要求为准，无明确要求的质保期壹年。乙方需提供售后服务承诺函。质保期内，损坏部件的修理费、往返运保费等由供应商承担；质保期外，只收取单程的运保费及已维修的原器件成本费，未尽事宜由双方协商解决。</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合同在履行过程中发生的争议、由采购方、中标方当事人协商解决；也可由当地市场监督管理部门调解；协商或调解不成的按下列第二种方式解决:1. 提交西安仲裁委员会仲裁；2. 依法向采购方所在地人民法院起诉。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中小企业声明函 残疾人福利性单位声明函 投标文件封面 投标人应提交的相关资格证明材料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财务状况报告（二选一）：①供应商提供2024年度或2025年度经会计事务所或审计机构审计的完整的财务审计报告（成立时间至提供响应文件截止时间不足一年的可提供成立后任意时段的资产负债表）；②在开标截止时间前三个月内其开户银行出具的资信证明（附开户许可证或基本账户存款信息）； （3）、税收缴纳证明：提供2025年6月1日至今任意一个月的纳税证明或完税证明，依法免税的单位应提供相关证明材料； （4）、社会保障资金缴纳证明：提供2025年6月1日至今任意一个月的社会保障资金缴存单据或社保机构开具的社会保险参保缴费情况证明，依法不需要缴纳社会保障资金的单位应提供相关证明材料； （5）、供应商应在开标截止日前未被列入失信被执行人、重大税收违法案件当事人名单、政府采购严重违法失信行为记录名单（处罚期限届满的除外）（以“信用中国”网站（www.creditchina.gov.cn）或中国政府采购网（www.ccgp.gov.cn）查询结果为准，提供网站截图（查询日期为从招标文件发售之日起至开标截止日前）并加盖供应商公章； （6）、法定代表人授权书/身份证明书:法定代表人直接参与投标的，须递交《法定代表人身份证明书》和身份证复印件。法定代表人授权代表参加投标的，须递交《法定代表人授权委托书》及授权代表身份证复印件； （7）、供应商应出具参加政府采购活动前3年内在经营活动中没有重大违法记录的书面声明； （8）提供具有履行本合同所必需的设备和专业技术能力的书面声明； 注：本项目不接受联合体投标（提供非联合体承诺书）。</w:t>
            </w:r>
          </w:p>
        </w:tc>
        <w:tc>
          <w:tcPr>
            <w:tcW w:type="dxa" w:w="1661"/>
          </w:tcPr>
          <w:p>
            <w:pPr>
              <w:pStyle w:val="null3"/>
            </w:pPr>
            <w:r>
              <w:rPr>
                <w:rFonts w:ascii="仿宋_GB2312" w:hAnsi="仿宋_GB2312" w:cs="仿宋_GB2312" w:eastAsia="仿宋_GB2312"/>
              </w:rPr>
              <w:t>非联合体承诺书.docx 投标函 中小企业声明函 残疾人福利性单位声明函 拒绝政府采购领域商业贿赂承诺书.docx 投标文件封面 监狱企业的证明文件 投标人应提交的相关资格证明材料 供应商关联承诺书.docx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投标函 中小企业声明函 残疾人福利性单位声明函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其他符合性审查</w:t>
            </w:r>
          </w:p>
        </w:tc>
        <w:tc>
          <w:tcPr>
            <w:tcW w:type="dxa" w:w="3322"/>
          </w:tcPr>
          <w:p>
            <w:pPr>
              <w:pStyle w:val="null3"/>
            </w:pPr>
            <w:r>
              <w:rPr>
                <w:rFonts w:ascii="仿宋_GB2312" w:hAnsi="仿宋_GB2312" w:cs="仿宋_GB2312" w:eastAsia="仿宋_GB2312"/>
              </w:rPr>
              <w:t>1、提供的资格证明文件是否符合国家法律法规和招标文件的要求，并且齐全、真实、有效； 2、投标文件是否按照招标文件要求的格式编写； 3、投标内容是否有重大缺漏项； 4、投标报价是否具有唯一性； 5、投标文件的签署、加盖印章是否合格、有效； 6、投标报价是否未超过采购预算； 7、投标文件是否响应了招标文件规定的其他实质性条款、条件和规格要求，并且提供了支持文件，没有重大偏离。</w:t>
            </w:r>
          </w:p>
        </w:tc>
        <w:tc>
          <w:tcPr>
            <w:tcW w:type="dxa" w:w="1661"/>
          </w:tcPr>
          <w:p>
            <w:pPr>
              <w:pStyle w:val="null3"/>
            </w:pPr>
            <w:r>
              <w:rPr>
                <w:rFonts w:ascii="仿宋_GB2312" w:hAnsi="仿宋_GB2312" w:cs="仿宋_GB2312" w:eastAsia="仿宋_GB2312"/>
              </w:rPr>
              <w:t>产品技术参数表 分项报价表.docx 投标函 中小企业声明函 残疾人福利性单位声明函 商务应答表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投标响应文件有效期</w:t>
            </w:r>
          </w:p>
        </w:tc>
        <w:tc>
          <w:tcPr>
            <w:tcW w:type="dxa" w:w="3322"/>
          </w:tcPr>
          <w:p>
            <w:pPr>
              <w:pStyle w:val="null3"/>
            </w:pPr>
            <w:r>
              <w:rPr>
                <w:rFonts w:ascii="仿宋_GB2312" w:hAnsi="仿宋_GB2312" w:cs="仿宋_GB2312" w:eastAsia="仿宋_GB2312"/>
              </w:rPr>
              <w:t>投标响应文件的有效期达到招标文件要求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按招标文件要求提供投标保证金缴纳凭证</w:t>
            </w:r>
          </w:p>
        </w:tc>
        <w:tc>
          <w:tcPr>
            <w:tcW w:type="dxa" w:w="1661"/>
          </w:tcPr>
          <w:p>
            <w:pPr>
              <w:pStyle w:val="null3"/>
            </w:pPr>
            <w:r>
              <w:rPr>
                <w:rFonts w:ascii="仿宋_GB2312" w:hAnsi="仿宋_GB2312" w:cs="仿宋_GB2312" w:eastAsia="仿宋_GB2312"/>
              </w:rPr>
              <w:t>投标函 保证金缴纳凭证.docx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技术参数及方案</w:t>
            </w:r>
          </w:p>
        </w:tc>
        <w:tc>
          <w:tcPr>
            <w:tcW w:type="dxa" w:w="2492"/>
          </w:tcPr>
          <w:p>
            <w:pPr>
              <w:pStyle w:val="null3"/>
            </w:pPr>
            <w:r>
              <w:rPr>
                <w:rFonts w:ascii="仿宋_GB2312" w:hAnsi="仿宋_GB2312" w:cs="仿宋_GB2312" w:eastAsia="仿宋_GB2312"/>
              </w:rPr>
              <w:t>投标产品的技术参数、配置和功能需求评审依据为生产厂家出具的、相应的功能证明材料（包括但不限于测试报告、彩页、官网和功能截图等）及投标产品技术参数偏离表等； 1、基本分（满分24分），完全响应招标文件要求，满足采购需求、技术参数没有负偏离，计基本分24分；参数中除“★”外，共有47项指标，每有一项技术指标负偏离扣0.5分，扣完为止。 2、功能及配置分（满分5分）： 2-1 所投产品的检测报告、产品认证证书等资料齐全、产品彩页清晰，技术方案和设备功能描述详细，产品选型有充分的依据，配套设施完善，各类证明材料完整，得5分； 2-2 所投产品佐证材料较完善，产品认证证书等资料较齐全，有技术方案和设备功能描述，产品选型合理，有产品配套内容，各类证明材料较为完整，得3分； 2-3 所投产品技术资料、检测报告、产品认证证书等资料不完整，产品功能描述一般，技术参数不明确，产品选型和配套不合理，各类证明材料不完整，得1分；2-4未提供得0分。 3、技术指标、参数优于招标文件规定的相应技术指标、参数，并且有实质性能提升的，经评标委员会一致认可的可进行相应加分，每项加1分，最多加5分。 4、投标人有完善的管理体系，针对本项目的实施组织机构、人员安排有具体方案，分工合理、责任明确，能确保项目顺利实施。投标人针对本项目有具体的供货组织安排，从仓储、运输、派送措施等方面，提供详细的实施方案和供货计划表，能确保按期交货（满分5分）。4-1方案详细、合理性强、可操作性强、针对性强，得5分；4-2方案较为详细、合理性较好、可操作性较好、具有一定针对性，得3分；4-3方案笼统、针对性及可操作性差，得1分；4-4未提供得0分。</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供应商有必要提供的其他说明.docx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业绩：提供投标人2022年01月01日至今所投同类产品业绩（仅限投标人本身）（提供合同复印件加盖公章），每份计1分，满分5分。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质量维保</w:t>
            </w:r>
          </w:p>
        </w:tc>
        <w:tc>
          <w:tcPr>
            <w:tcW w:type="dxa" w:w="2492"/>
          </w:tcPr>
          <w:p>
            <w:pPr>
              <w:pStyle w:val="null3"/>
            </w:pPr>
            <w:r>
              <w:rPr>
                <w:rFonts w:ascii="仿宋_GB2312" w:hAnsi="仿宋_GB2312" w:cs="仿宋_GB2312" w:eastAsia="仿宋_GB2312"/>
              </w:rPr>
              <w:t>1、产品及备品备件货源渠道正常，供应充足，产地及制造商明确，产品销售记录可追溯，提供相关证明材料，按其响应程度计分（满分5分）。产品货源渠道明晰，产品授权齐全。技术资料齐全，备品、配件供应有保障，零配件供应充足、及时，得5分；产品货源渠道明晰，产品授权齐全，备品备件等供应基本能满足需要，得3分；产品货源渠道不明确，产品授权不齐全，无法确定备品备件供应是否能满足需要，得1分；未提供得0分。 2、所投产品的质量标准、检测标准符合或高于国家标准，根据测试手段先进性，出具检测报告等证明材料，综合赋分（满分5分）。产品技术佐证资料全面、有效，能够有效证明产品质量符合或优于采购要求，得5分；产品技术资料较全面，能够证明产品质量符合采购要求，得3分；材料欠缺，难以有效证明产品质量或缺失佐证材料，得1分；未提供得0分。 3、维保方案：制定完善、具体、可行的服务方案（包含：日常、月度、年度维保方案）有明确的保障措施，人员安排有具体方案，分工合理、责任明确，安装、检测、调试等方面保证措施完善。按其响应程度打分（满分6分）。方案详细、合理性强、可操作性强、针对性强，得6分； 方案较为详细、合理性较好、可操作性较好、具有一定针对性，得4分；方案笼统、针对性及可操作性差，得2分；未提供得0分。 4、维保期延长一年得1分，最多加2分。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质量维保.docx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投标人制定完善可行、有针对性的培训服务方案，能够保障使用单位能熟练操作维护和正常使用（满分8分）。 1.培训方案全面、具体、合理性强，得8分； 2.培训方案相对全面、具体，合理性相对较强，得6分； 3.培训方案基本全面、具体，有一定的合理性，得4分； 4.培训方案不够全面，具体，合理性相对较弱，得2分； 5.培训方案不全面、具体，合理性较差，得1分； 6.未提供得0分。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培训方案.docx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详见附件：供应商关联承诺书.docx</w:t>
      </w:r>
    </w:p>
    <w:p>
      <w:pPr>
        <w:pStyle w:val="null3"/>
        <w:ind w:firstLine="960"/>
      </w:pPr>
      <w:r>
        <w:rPr>
          <w:rFonts w:ascii="仿宋_GB2312" w:hAnsi="仿宋_GB2312" w:cs="仿宋_GB2312" w:eastAsia="仿宋_GB2312"/>
        </w:rPr>
        <w:t>详见附件：供应商有必要提供的其他说明.docx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详见附件：质量维保.docx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详见附件：非联合体承诺书.docx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详见附件：提升16 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