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版本号：【KRDL】K4-260100820260228001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继续教育综合服务平台采购项目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【KRDL】K4-2601008</w:t>
      </w:r>
      <w:r>
        <w:br/>
      </w:r>
      <w:r>
        <w:br/>
      </w:r>
      <w:r>
        <w:br/>
      </w:r>
    </w:p>
    <w:p>
      <w:pPr>
        <w:pStyle w:val="null3"/>
        <w:jc w:val="center"/>
        <w:outlineLvl w:val="5"/>
      </w:pPr>
      <w:r>
        <w:rPr>
          <w:rFonts w:ascii="仿宋_GB2312" w:hAnsi="仿宋_GB2312" w:cs="仿宋_GB2312" w:eastAsia="仿宋_GB2312"/>
          <w:sz w:val="15"/>
          <w:b/>
        </w:rPr>
        <w:t>西安科技大学</w:t>
      </w:r>
    </w:p>
    <w:p>
      <w:pPr>
        <w:pStyle w:val="null3"/>
        <w:jc w:val="center"/>
        <w:outlineLvl w:val="5"/>
      </w:pPr>
      <w:r>
        <w:rPr>
          <w:rFonts w:ascii="仿宋_GB2312" w:hAnsi="仿宋_GB2312" w:cs="仿宋_GB2312" w:eastAsia="仿宋_GB2312"/>
          <w:sz w:val="15"/>
          <w:b/>
        </w:rPr>
        <w:t>开瑞项目管理有限公司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继续教育综合服务平台采购项目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【KRDL】K4-2601008</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继续教育综合服务平台采购项目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科技大学继续教育综合服务平台采购项目，旨在构建西安科技大学继续教育一体化管理平台，通过整合现有的继续教育综合管理平台、在线考试系统、AI模块及网络资源更新等功能，结合微服务架构与低代码开发平台优势，实现继续教育业务（高等学历继续教育、非学历继续教育）的一体化、数字化、智能化升级。</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采购包1（继续教育综合服务平台采购项目）：属于专门面向中小企业采购。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1、主体资格：供应商为向采购人提供服务的法人或其他组织；</w:t>
      </w:r>
    </w:p>
    <w:p>
      <w:pPr>
        <w:pStyle w:val="null3"/>
      </w:pPr>
      <w:r>
        <w:rPr>
          <w:rFonts w:ascii="仿宋_GB2312" w:hAnsi="仿宋_GB2312" w:cs="仿宋_GB2312" w:eastAsia="仿宋_GB2312"/>
        </w:rPr>
        <w:t>2、信誉要求：截止至响应文件递交截止时间之前，供应商未被“信用中国”网站列入失信被执行人、重大税收违法失信主体名单，未被“中国政府采购网”网站列入政府采购严重违法失信行为记录名单；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3、是否面向中小企业采购：本项目专门面向中小企业采购。</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029-89581863、15229797656、17302920968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说明：成交供应商成交后凭中标（成交）通知书向采购人缴纳中标金额的5%作为履约保证金，验收合格支付货款后，5%履约保证金无质量问题一次性无息退还。</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 857号）的有关规定标准下浮22.5%计取，向采购代理机构一次付清代理服务费。 备注：供应商在缴纳服务费时请备注项目编号+采购代理服务费。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科技大学继续教育综合服务平台采购项目，旨在构建西安科技大学继续教育一体化管理平台，通过整合现有的继续教育综合管理平台、在线考试系统、AI模块及网络资源更新等功能，结合微服务架构与低代码开发平台优势，实现继续教育业务（高等学历继续教育、非学历继续教育）的一体化、数字化、智能化升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继续教育综合服务平台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标的名称：继续教育综合服务平台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西安科技大学继续教育综合服务平台采购项目，旨在构建西安科技大学继续教育一体化管理平台，通过整合现有</w:t>
            </w:r>
            <w:r>
              <w:rPr>
                <w:rFonts w:ascii="仿宋_GB2312" w:hAnsi="仿宋_GB2312" w:cs="仿宋_GB2312" w:eastAsia="仿宋_GB2312"/>
                <w:sz w:val="24"/>
              </w:rPr>
              <w:t>的继续教育</w:t>
            </w:r>
            <w:r>
              <w:rPr>
                <w:rFonts w:ascii="仿宋_GB2312" w:hAnsi="仿宋_GB2312" w:cs="仿宋_GB2312" w:eastAsia="仿宋_GB2312"/>
                <w:sz w:val="24"/>
              </w:rPr>
              <w:t>综合管理平台、在线考试系统、</w:t>
            </w:r>
            <w:r>
              <w:rPr>
                <w:rFonts w:ascii="仿宋_GB2312" w:hAnsi="仿宋_GB2312" w:cs="仿宋_GB2312" w:eastAsia="仿宋_GB2312"/>
                <w:sz w:val="24"/>
              </w:rPr>
              <w:t>AI模块及网络资源更新等功能，结合微服务架构与低代码开发平台优势，实现继续教育业务（</w:t>
            </w:r>
            <w:r>
              <w:rPr>
                <w:rFonts w:ascii="仿宋_GB2312" w:hAnsi="仿宋_GB2312" w:cs="仿宋_GB2312" w:eastAsia="仿宋_GB2312"/>
                <w:sz w:val="24"/>
              </w:rPr>
              <w:t>高等学历继续教育、非学历继续教育</w:t>
            </w:r>
            <w:r>
              <w:rPr>
                <w:rFonts w:ascii="仿宋_GB2312" w:hAnsi="仿宋_GB2312" w:cs="仿宋_GB2312" w:eastAsia="仿宋_GB2312"/>
                <w:sz w:val="24"/>
              </w:rPr>
              <w:t>）的</w:t>
            </w:r>
            <w:r>
              <w:rPr>
                <w:rFonts w:ascii="仿宋_GB2312" w:hAnsi="仿宋_GB2312" w:cs="仿宋_GB2312" w:eastAsia="仿宋_GB2312"/>
                <w:sz w:val="24"/>
              </w:rPr>
              <w:t>一体化、</w:t>
            </w:r>
            <w:r>
              <w:rPr>
                <w:rFonts w:ascii="仿宋_GB2312" w:hAnsi="仿宋_GB2312" w:cs="仿宋_GB2312" w:eastAsia="仿宋_GB2312"/>
                <w:sz w:val="24"/>
              </w:rPr>
              <w:t>数字化、智能化升级</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二、服务内容及要求</w:t>
            </w:r>
          </w:p>
          <w:p>
            <w:pPr>
              <w:pStyle w:val="null3"/>
              <w:ind w:left="480"/>
              <w:jc w:val="left"/>
            </w:pPr>
            <w:r>
              <w:rPr>
                <w:rFonts w:ascii="仿宋_GB2312" w:hAnsi="仿宋_GB2312" w:cs="仿宋_GB2312" w:eastAsia="仿宋_GB2312"/>
                <w:sz w:val="24"/>
                <w:b/>
              </w:rPr>
              <w:t>1.</w:t>
            </w:r>
            <w:r>
              <w:rPr>
                <w:rFonts w:ascii="仿宋_GB2312" w:hAnsi="仿宋_GB2312" w:cs="仿宋_GB2312" w:eastAsia="仿宋_GB2312"/>
                <w:sz w:val="24"/>
                <w:b/>
              </w:rPr>
              <w:t>学历</w:t>
            </w:r>
            <w:r>
              <w:rPr>
                <w:rFonts w:ascii="仿宋_GB2312" w:hAnsi="仿宋_GB2312" w:cs="仿宋_GB2312" w:eastAsia="仿宋_GB2312"/>
                <w:sz w:val="24"/>
                <w:b/>
              </w:rPr>
              <w:t>平台功能要求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原学</w:t>
            </w:r>
            <w:r>
              <w:rPr>
                <w:rFonts w:ascii="仿宋_GB2312" w:hAnsi="仿宋_GB2312" w:cs="仿宋_GB2312" w:eastAsia="仿宋_GB2312"/>
                <w:sz w:val="24"/>
              </w:rPr>
              <w:t>历教育综合管理平台</w:t>
            </w:r>
            <w:r>
              <w:rPr>
                <w:rFonts w:ascii="仿宋_GB2312" w:hAnsi="仿宋_GB2312" w:cs="仿宋_GB2312" w:eastAsia="仿宋_GB2312"/>
                <w:sz w:val="24"/>
              </w:rPr>
              <w:t>升级</w:t>
            </w:r>
            <w:r>
              <w:rPr>
                <w:rFonts w:ascii="仿宋_GB2312" w:hAnsi="仿宋_GB2312" w:cs="仿宋_GB2312" w:eastAsia="仿宋_GB2312"/>
                <w:sz w:val="24"/>
              </w:rPr>
              <w:t>：需包含系统管理、基础数据、招生录取、学籍管理、教学管理、考试管理、成绩管理、学位管理、通知管理等已有功能，以及新增的论文管理、答辩管理、毕业管理、教学大数据分析模块，实现学历教育全流程闭环管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在线考试系统：在线考试支持手机端、客户端、</w:t>
            </w:r>
            <w:r>
              <w:rPr>
                <w:rFonts w:ascii="仿宋_GB2312" w:hAnsi="仿宋_GB2312" w:cs="仿宋_GB2312" w:eastAsia="仿宋_GB2312"/>
                <w:sz w:val="24"/>
              </w:rPr>
              <w:t>pc端考试，平台满足从题库创建、考试发布、考试、监考、批阅、统计全流程管理要求，具备人脸识别、考试过程抓拍、考试提醒、强制收卷、题目乱序、选项乱序等强大的防作弊功能。</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AI 模块：集成 AI 教务助手（智能问答、业务办理）、AI 应用（智能教案生成、作业查重、学情分析）、数字人（虚拟形象授课）、内容安全检测（敏感内容审核）等功能，提升教学智能化水平。</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）网络资源更新：按教学计划匹配更新课程资源，确保教学内容的时效性与专业性。</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直播模块：支持通过直播客户端进行大规模在线直播，实现共享屏幕、讨论、互动等功能。直播与教学深度融合，实现课程章节中插入直播，将直播内容完整保存下来供学生进行回看。直播与管理深度融合，全面管理所有教师直播内容，支持进行禁止回看、回看时间、下载、观看次数 复制回看地址、禁言等设置。支持教师和学生同时开启音视频互动交流，实现空中课堂教学。教学过程可以进行共享屏幕、分组讨论、课堂录制，以及发起丰富的课堂活动包括签到、投票、选人、主题讨论、随堂练习、问卷等活动。</w:t>
            </w:r>
          </w:p>
          <w:p>
            <w:pPr>
              <w:pStyle w:val="null3"/>
              <w:ind w:left="480"/>
              <w:jc w:val="left"/>
            </w:pPr>
            <w:r>
              <w:rPr>
                <w:rFonts w:ascii="仿宋_GB2312" w:hAnsi="仿宋_GB2312" w:cs="仿宋_GB2312" w:eastAsia="仿宋_GB2312"/>
                <w:sz w:val="24"/>
                <w:b/>
              </w:rPr>
              <w:t>2.技术性能要求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）架构：采用微服务架构，基于</w:t>
            </w:r>
            <w:r>
              <w:rPr>
                <w:rFonts w:ascii="仿宋_GB2312" w:hAnsi="仿宋_GB2312" w:cs="仿宋_GB2312" w:eastAsia="仿宋_GB2312"/>
                <w:sz w:val="24"/>
              </w:rPr>
              <w:t>Java 语言开发，支持分布式部署与动态扩容，满足未来 5-10 年业务扩展需求。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）性能：</w:t>
            </w:r>
            <w:r>
              <w:rPr>
                <w:rFonts w:ascii="仿宋_GB2312" w:hAnsi="仿宋_GB2312" w:cs="仿宋_GB2312" w:eastAsia="仿宋_GB2312"/>
                <w:sz w:val="24"/>
              </w:rPr>
              <w:t>7×24 小时不间断运行，页面响应≤3 秒，检索响应≤3 秒，视频点播响应≤6 秒，并发数 &gt; 5000，支持 10 万用户规模。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）兼容性：采用</w:t>
            </w:r>
            <w:r>
              <w:rPr>
                <w:rFonts w:ascii="仿宋_GB2312" w:hAnsi="仿宋_GB2312" w:cs="仿宋_GB2312" w:eastAsia="仿宋_GB2312"/>
                <w:sz w:val="24"/>
              </w:rPr>
              <w:t>B/S 模式，J2EE 架构，支持 IE9 及以上、Chrome、Firefox 等主流浏览器，适配 iOS/Android 移动端。</w:t>
            </w:r>
          </w:p>
          <w:p>
            <w:pPr>
              <w:pStyle w:val="null3"/>
              <w:ind w:left="480"/>
              <w:jc w:val="left"/>
            </w:pPr>
            <w:r>
              <w:rPr>
                <w:rFonts w:ascii="仿宋_GB2312" w:hAnsi="仿宋_GB2312" w:cs="仿宋_GB2312" w:eastAsia="仿宋_GB2312"/>
                <w:sz w:val="24"/>
                <w:b/>
              </w:rPr>
              <w:t>3.安全与运维要求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）信息安全：符合等保三级要求，敏感信息加密存储，数据库主从热备</w:t>
            </w:r>
            <w:r>
              <w:rPr>
                <w:rFonts w:ascii="仿宋_GB2312" w:hAnsi="仿宋_GB2312" w:cs="仿宋_GB2312" w:eastAsia="仿宋_GB2312"/>
                <w:sz w:val="24"/>
              </w:rPr>
              <w:t>+ 冷备，网络部署防火墙，数据传输加密，日志保留≥半年。</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）运维支持：提供系统升级、故障处理、数据备份等技术支持服务，确保平台稳定运行。</w:t>
            </w:r>
          </w:p>
          <w:p>
            <w:pPr>
              <w:pStyle w:val="null3"/>
              <w:ind w:left="480"/>
              <w:jc w:val="left"/>
            </w:pPr>
            <w:r>
              <w:rPr>
                <w:rFonts w:ascii="仿宋_GB2312" w:hAnsi="仿宋_GB2312" w:cs="仿宋_GB2312" w:eastAsia="仿宋_GB2312"/>
                <w:sz w:val="24"/>
                <w:b/>
              </w:rPr>
              <w:t>4.非学历平台功能要求</w:t>
            </w:r>
          </w:p>
          <w:tbl>
            <w:tblPr>
              <w:tblBorders>
                <w:top w:val="none" w:color="000000" w:sz="4"/>
                <w:left w:val="none" w:color="000000" w:sz="4"/>
                <w:bottom w:val="none" w:color="000000" w:sz="4"/>
                <w:right w:val="none" w:color="000000" w:sz="4"/>
                <w:insideH w:val="none"/>
                <w:insideV w:val="none"/>
              </w:tblBorders>
            </w:tblPr>
            <w:tblGrid>
              <w:gridCol w:w="266"/>
              <w:gridCol w:w="381"/>
              <w:gridCol w:w="1906"/>
            </w:tblGrid>
            <w:tr>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平台</w:t>
                  </w:r>
                </w:p>
              </w:tc>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功能模块</w:t>
                  </w:r>
                </w:p>
              </w:tc>
              <w:tc>
                <w:tcPr>
                  <w:tcW w:type="dxa" w:w="1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功能描述</w:t>
                  </w:r>
                </w:p>
              </w:tc>
            </w:tr>
            <w:tr>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培训综合管理平台</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系统设置</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支持灵活的调整各菜单功能配置</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至少支持五级组织架构和多层级管理</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支持按照角色分配管理功能，给角色添加管理员账号，设置管理范围</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支持管理所有管理员账号</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支持自由添加教师信息字段、学员信息字段、报名字段</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记录管理员在平台的操作行为</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可以设置学员注册帐号要求和帐号有效期</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支持预设开班通知内容，支持立即发送和定时发送开班通知。定时发送时间包括：提前</w:t>
                  </w:r>
                  <w:r>
                    <w:rPr>
                      <w:rFonts w:ascii="仿宋_GB2312" w:hAnsi="仿宋_GB2312" w:cs="仿宋_GB2312" w:eastAsia="仿宋_GB2312"/>
                      <w:sz w:val="24"/>
                    </w:rPr>
                    <w:t>1小时、24小时、一周发送。</w:t>
                  </w:r>
                </w:p>
              </w:tc>
            </w:tr>
            <w:tr>
              <w:tc>
                <w:tcPr>
                  <w:tcW w:type="dxa" w:w="266"/>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基础数据管理</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管理学员和讲师基本信息</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自主创建课程类型，管理培训课程</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管理合作单位</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五级以上的项目类型管理</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对线下培训所需的车辆、用餐、酒店、场地、教材和物料进行管理</w:t>
                  </w:r>
                  <w:r>
                    <w:rPr>
                      <w:rFonts w:ascii="仿宋_GB2312" w:hAnsi="仿宋_GB2312" w:cs="仿宋_GB2312" w:eastAsia="仿宋_GB2312"/>
                      <w:sz w:val="24"/>
                    </w:rPr>
                    <w:t>；</w:t>
                  </w:r>
                </w:p>
              </w:tc>
            </w:tr>
            <w:tr>
              <w:tc>
                <w:tcPr>
                  <w:tcW w:type="dxa" w:w="266"/>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需求调研</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支持发布需求调研项目，查看查看学员预报名情况</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可以将需求调研项目转为正式项目或停办项目</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支持给预报名学员发布开班短信</w:t>
                  </w:r>
                  <w:r>
                    <w:rPr>
                      <w:rFonts w:ascii="仿宋_GB2312" w:hAnsi="仿宋_GB2312" w:cs="仿宋_GB2312" w:eastAsia="仿宋_GB2312"/>
                      <w:sz w:val="24"/>
                    </w:rPr>
                    <w:t>；</w:t>
                  </w:r>
                </w:p>
              </w:tc>
            </w:tr>
            <w:tr>
              <w:tc>
                <w:tcPr>
                  <w:tcW w:type="dxa" w:w="266"/>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项目申报管理</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引导式项目申报，从项目申报基本信息填报，经费预算填报，到培训计划设置形成填报引导</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自主申报培训项目，填写培训项目基本信息，支持项目立项审核</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支持社会培训项目以及委托培训项目的申报。委托项目申报支持提交保存相关合同协议资料</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依据培训经费类型录入预算各项预算金额、上传附件，支持设置经费预算单独审核。支持经费类型自定义添加</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支持从课程库中添加课程，设置课程性质和学时。支持添加线下活动，设置活动名称、活动性质、总学时、活动地点、介绍等信息，以及直播课堂、问卷、作业、考试。支持设置培训计划单独审核。</w:t>
                  </w:r>
                </w:p>
              </w:tc>
            </w:tr>
            <w:tr>
              <w:tc>
                <w:tcPr>
                  <w:tcW w:type="dxa" w:w="266"/>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项目审核管理</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自定义设置审批流程，实现多层级多人审核。支持按照部门、角色、个人指定审批人，审批人关系实现</w:t>
                  </w:r>
                  <w:r>
                    <w:rPr>
                      <w:rFonts w:ascii="仿宋_GB2312" w:hAnsi="仿宋_GB2312" w:cs="仿宋_GB2312" w:eastAsia="仿宋_GB2312"/>
                      <w:sz w:val="24"/>
                    </w:rPr>
                    <w:t>“或签”、“会签”。支持设置审批流程启用状态</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支持按照待审核、已处理和我创建的内容进行分类管理</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审批状态包括：待审核、已通过、未通过</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审核项目时支持添加审核评语</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查看我创建内容的审核进度</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支持在线手写签名</w:t>
                  </w:r>
                  <w:r>
                    <w:rPr>
                      <w:rFonts w:ascii="仿宋_GB2312" w:hAnsi="仿宋_GB2312" w:cs="仿宋_GB2312" w:eastAsia="仿宋_GB2312"/>
                      <w:sz w:val="24"/>
                    </w:rPr>
                    <w:t>；</w:t>
                  </w:r>
                </w:p>
              </w:tc>
            </w:tr>
            <w:tr>
              <w:tc>
                <w:tcPr>
                  <w:tcW w:type="dxa" w:w="266"/>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项目管理</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管理项目综合信息、班级管理、学员管理、项目管理员、项目收支、评价管理</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查看编辑项目综合信息</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查看该项目下所有培训班学员信息，包括所属班级、报到状态、缴费状态、成绩是否合格、证书状态等信息</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添加项目管理员</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查看每个培训班收支金额、每个培训班收支详情，以及整个项目收支总金额</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评通过问卷采集学员的评价结果，评价内容支持自定义设置</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支持提交归档材料，对培训项目进行归档处理</w:t>
                  </w:r>
                  <w:r>
                    <w:rPr>
                      <w:rFonts w:ascii="仿宋_GB2312" w:hAnsi="仿宋_GB2312" w:cs="仿宋_GB2312" w:eastAsia="仿宋_GB2312"/>
                      <w:sz w:val="24"/>
                    </w:rPr>
                    <w:t>；</w:t>
                  </w:r>
                </w:p>
              </w:tc>
            </w:tr>
            <w:tr>
              <w:tc>
                <w:tcPr>
                  <w:tcW w:type="dxa" w:w="266"/>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班级管理</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支持对每一个培训项目下的班级进行管理</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引导式开班申请，在项目下开设多个培训班，设置班级基本信息、经费预算、培训计划、合格标准信息</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一站式培训班级管理，班级信息包括：班级综合信息、学员管理、签到请假、班级督学、成绩管理、班级课表、教材管理、班级收支、评价管理</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提交结束理由和相关文档结束培训班级</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支持下载班级档案</w:t>
                  </w:r>
                  <w:r>
                    <w:rPr>
                      <w:rFonts w:ascii="仿宋_GB2312" w:hAnsi="仿宋_GB2312" w:cs="仿宋_GB2312" w:eastAsia="仿宋_GB2312"/>
                      <w:sz w:val="24"/>
                    </w:rPr>
                    <w:t>；</w:t>
                  </w:r>
                </w:p>
              </w:tc>
            </w:tr>
            <w:tr>
              <w:tc>
                <w:tcPr>
                  <w:tcW w:type="dxa" w:w="266"/>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考务管理</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维护考试批次、教室和考场信息</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自动排考或导入考试安排</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成绩管理，线上考试成绩自动同步，线下考试成绩导入</w:t>
                  </w:r>
                  <w:r>
                    <w:rPr>
                      <w:rFonts w:ascii="仿宋_GB2312" w:hAnsi="仿宋_GB2312" w:cs="仿宋_GB2312" w:eastAsia="仿宋_GB2312"/>
                      <w:sz w:val="24"/>
                    </w:rPr>
                    <w:t>；</w:t>
                  </w:r>
                </w:p>
              </w:tc>
            </w:tr>
            <w:tr>
              <w:tc>
                <w:tcPr>
                  <w:tcW w:type="dxa" w:w="266"/>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证书管理</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实现证书在线编辑工作台，可以通过拖拽方式添加字段信息、图片、文本框、基本图形等元素在线设计证书</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自定义设置证书编码规则，支持固定位和流水位设置</w:t>
                  </w:r>
                  <w:r>
                    <w:rPr>
                      <w:rFonts w:ascii="仿宋_GB2312" w:hAnsi="仿宋_GB2312" w:cs="仿宋_GB2312" w:eastAsia="仿宋_GB2312"/>
                      <w:sz w:val="24"/>
                    </w:rPr>
                    <w:t>；</w:t>
                  </w:r>
                </w:p>
              </w:tc>
            </w:tr>
            <w:tr>
              <w:tc>
                <w:tcPr>
                  <w:tcW w:type="dxa" w:w="266"/>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财务管理</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管理已上报的项目经费，对上报经费进行审批</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查看项目收支对比统计分析、预算与支对比统计分析、收入统计分析、支出统计分析</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学员可以线上缴费，缴费内容包括学员报名费、单课报名缴费、集体报名费、补考费</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现付录入缴费结果或线上缴费，线上缴费支持与第三方支付机构对接</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支持在线开具电子发票，管理发票开具情况。</w:t>
                  </w:r>
                </w:p>
              </w:tc>
            </w:tr>
            <w:tr>
              <w:tc>
                <w:tcPr>
                  <w:tcW w:type="dxa" w:w="266"/>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数据统计</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通过选择统计维度和统计内容生成统计数据，数据以图表或数据列表形式展示，可以保存或下载统计数据</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可以将单个</w:t>
                  </w:r>
                  <w:r>
                    <w:rPr>
                      <w:rFonts w:ascii="仿宋_GB2312" w:hAnsi="仿宋_GB2312" w:cs="仿宋_GB2312" w:eastAsia="仿宋_GB2312"/>
                      <w:sz w:val="24"/>
                    </w:rPr>
                    <w:t>/多个自定义生成的统计数据设置为统计分析看板</w:t>
                  </w:r>
                  <w:r>
                    <w:rPr>
                      <w:rFonts w:ascii="仿宋_GB2312" w:hAnsi="仿宋_GB2312" w:cs="仿宋_GB2312" w:eastAsia="仿宋_GB2312"/>
                      <w:sz w:val="24"/>
                    </w:rPr>
                    <w:t>；</w:t>
                  </w:r>
                </w:p>
              </w:tc>
            </w:tr>
            <w:tr>
              <w:tc>
                <w:tcPr>
                  <w:tcW w:type="dxa" w:w="266"/>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问卷管理</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自定义创建指标，设置评价标准以及分值，支持单个或批量导入指标。支持单选题、多选题、简答题多种题型</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从题库中选取或新建题目形成问卷，问卷可以被项目或培训班调取，在培训班评价管理中进行发布</w:t>
                  </w:r>
                  <w:r>
                    <w:rPr>
                      <w:rFonts w:ascii="仿宋_GB2312" w:hAnsi="仿宋_GB2312" w:cs="仿宋_GB2312" w:eastAsia="仿宋_GB2312"/>
                      <w:sz w:val="24"/>
                    </w:rPr>
                    <w:t>；</w:t>
                  </w:r>
                </w:p>
              </w:tc>
            </w:tr>
            <w:tr>
              <w:tc>
                <w:tcPr>
                  <w:tcW w:type="dxa" w:w="266"/>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通知管理</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支持通过相应的筛选条件选择管理员、班主任、教师、学员发布通知</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通知支持置顶、撤回、定时发送、草稿箱等功能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接收和查看通知</w:t>
                  </w:r>
                  <w:r>
                    <w:rPr>
                      <w:rFonts w:ascii="仿宋_GB2312" w:hAnsi="仿宋_GB2312" w:cs="仿宋_GB2312" w:eastAsia="仿宋_GB2312"/>
                      <w:sz w:val="24"/>
                    </w:rPr>
                    <w:t>；</w:t>
                  </w:r>
                </w:p>
              </w:tc>
            </w:tr>
            <w:tr>
              <w:tc>
                <w:tcPr>
                  <w:tcW w:type="dxa" w:w="266"/>
                  <w:vMerge/>
                  <w:tcBorders>
                    <w:top w:val="none" w:color="000000" w:sz="4"/>
                    <w:left w:val="single" w:color="000000" w:sz="4"/>
                    <w:bottom w:val="single" w:color="000000" w:sz="4"/>
                    <w:right w:val="single" w:color="000000" w:sz="4"/>
                  </w:tcBorders>
                </w:tc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智慧门户</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设计展示我校办学特色的培训门户网站，提供友善的界面、便捷的服务、智慧的功能，实现门户自主化管理</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实现新闻公告、学校动态、需求调研项目、正式培训项目等应用模块的发布与展示，门户网站的管理具备高度灵活性，依据需求自由调整展示内容、形态和位置</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门户管理后台应具备基本的栏目增加、删除、编辑，以及添加子栏目功能</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支持创建单个或多个网站，自定义网站名称和域名</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提供多种风格门户模块，实现快速创建门户网站</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自定义设置、更改页面的主题颜色，页面上的应用、图标等相关元素自动实现与主题色统一；</w:t>
                  </w:r>
                </w:p>
                <w:p>
                  <w:pPr>
                    <w:pStyle w:val="null3"/>
                    <w:numPr>
                      <w:ilvl w:val="0"/>
                      <w:numId w:val="1"/>
                    </w:numPr>
                    <w:jc w:val="left"/>
                  </w:pPr>
                  <w:r>
                    <w:rPr>
                      <w:rFonts w:ascii="仿宋_GB2312" w:hAnsi="仿宋_GB2312" w:cs="仿宋_GB2312" w:eastAsia="仿宋_GB2312"/>
                      <w:sz w:val="24"/>
                    </w:rPr>
                    <w:t>支持对需求调研项目和正式项目进行展示</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门户网站页面适用于</w:t>
                  </w:r>
                  <w:r>
                    <w:rPr>
                      <w:rFonts w:ascii="仿宋_GB2312" w:hAnsi="仿宋_GB2312" w:cs="仿宋_GB2312" w:eastAsia="仿宋_GB2312"/>
                      <w:sz w:val="24"/>
                    </w:rPr>
                    <w:t>pc展示和移动端展示。</w:t>
                  </w:r>
                </w:p>
              </w:tc>
            </w:tr>
          </w:tbl>
          <w:p>
            <w:pPr>
              <w:pStyle w:val="null3"/>
              <w:ind w:firstLine="120"/>
              <w:jc w:val="both"/>
            </w:pPr>
            <w:r>
              <w:rPr>
                <w:rFonts w:ascii="仿宋_GB2312" w:hAnsi="仿宋_GB2312" w:cs="仿宋_GB2312" w:eastAsia="仿宋_GB2312"/>
                <w:sz w:val="24"/>
                <w:b/>
              </w:rPr>
              <w:t>4.</w:t>
            </w:r>
            <w:r>
              <w:rPr>
                <w:rFonts w:ascii="仿宋_GB2312" w:hAnsi="仿宋_GB2312" w:cs="仿宋_GB2312" w:eastAsia="仿宋_GB2312"/>
                <w:sz w:val="24"/>
                <w:b/>
              </w:rPr>
              <w:t>其他要求</w:t>
            </w:r>
            <w:r>
              <w:br/>
            </w:r>
            <w:r>
              <w:rPr>
                <w:rFonts w:ascii="仿宋_GB2312" w:hAnsi="仿宋_GB2312" w:cs="仿宋_GB2312" w:eastAsia="仿宋_GB2312"/>
                <w:sz w:val="21"/>
              </w:rPr>
              <w:t xml:space="preserve">     </w:t>
            </w:r>
            <w:r>
              <w:rPr>
                <w:rFonts w:ascii="仿宋_GB2312" w:hAnsi="仿宋_GB2312" w:cs="仿宋_GB2312" w:eastAsia="仿宋_GB2312"/>
                <w:sz w:val="24"/>
              </w:rPr>
              <w:t>本项目当高等学历继续教育招生人数大于等于</w:t>
            </w:r>
            <w:r>
              <w:rPr>
                <w:rFonts w:ascii="仿宋_GB2312" w:hAnsi="仿宋_GB2312" w:cs="仿宋_GB2312" w:eastAsia="仿宋_GB2312"/>
                <w:sz w:val="24"/>
              </w:rPr>
              <w:t>6000人时候，按照6000人结</w:t>
            </w:r>
          </w:p>
          <w:p>
            <w:pPr>
              <w:pStyle w:val="null3"/>
              <w:jc w:val="both"/>
            </w:pPr>
            <w:r>
              <w:rPr>
                <w:rFonts w:ascii="仿宋_GB2312" w:hAnsi="仿宋_GB2312" w:cs="仿宋_GB2312" w:eastAsia="仿宋_GB2312"/>
                <w:sz w:val="24"/>
              </w:rPr>
              <w:t>算；当高等学历继续教育招生人数小于</w:t>
            </w:r>
            <w:r>
              <w:rPr>
                <w:rFonts w:ascii="仿宋_GB2312" w:hAnsi="仿宋_GB2312" w:cs="仿宋_GB2312" w:eastAsia="仿宋_GB2312"/>
                <w:sz w:val="24"/>
              </w:rPr>
              <w:t>6000人时，按照实际招生人数结算，本项目非学历教育服务需包含在上述结算费用内，且服务人数不计入人数。</w:t>
            </w:r>
          </w:p>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三年（合同一年一签，每年考核一次，招标人依据考核结果决定是否续签下一年服务合同，最多续签两次。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验收合格后采购人向成交供应商支付合同金额的95%</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服务期满后支付剩余5%。在付款前成交供应商须开具全额增值税普通发票给采购人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按照国家标准、单一来源采购文件、响应文件和合同要求执行。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总预算为人民币玖拾万元整（￥900000.00元），为一年预算，单价最高响应限价为人民币壹佰伍拾元整/人（￥150.00元/人），服务期限为：三年（合同一年一签，每年考核一次，采购人依据考核结果决定是否续签下一年服务合同，最多续签两次。供应商响应报价不得上述金额，否则按无效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供应商为向采购人提供服务的法人或其他组织；</w:t>
            </w:r>
          </w:p>
        </w:tc>
        <w:tc>
          <w:tcPr>
            <w:tcW w:type="dxa" w:w="1661"/>
          </w:tcPr>
          <w:p>
            <w:pPr>
              <w:pStyle w:val="null3"/>
            </w:pPr>
            <w:r>
              <w:rPr>
                <w:rFonts w:ascii="仿宋_GB2312" w:hAnsi="仿宋_GB2312" w:cs="仿宋_GB2312" w:eastAsia="仿宋_GB2312"/>
              </w:rPr>
              <w:t>供应商应提供的资格证明材料.docx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供应商应提供的资格证明材料.docx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供应商完全响应本项目采购文件实质性条款</w:t>
            </w:r>
          </w:p>
        </w:tc>
        <w:tc>
          <w:tcPr>
            <w:tcW w:type="dxa" w:w="1661"/>
          </w:tcPr>
          <w:p>
            <w:pPr>
              <w:pStyle w:val="null3"/>
            </w:pPr>
            <w:r>
              <w:rPr>
                <w:rFonts w:ascii="仿宋_GB2312" w:hAnsi="仿宋_GB2312" w:cs="仿宋_GB2312" w:eastAsia="仿宋_GB2312"/>
              </w:rPr>
              <w:t>供应商应提供的资格证明材料.docx 服务内容及服务邀请应答表 分项报价清单.docx 中小企业声明函 商务应答表 报价表 供应商应授权合法的人员参加本项目采购会议全过程.docx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分项报价清单.docx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不存在采购文件或法律法规规定的无效情形</w:t>
            </w:r>
          </w:p>
        </w:tc>
        <w:tc>
          <w:tcPr>
            <w:tcW w:type="dxa" w:w="1661"/>
          </w:tcPr>
          <w:p>
            <w:pPr>
              <w:pStyle w:val="null3"/>
            </w:pPr>
            <w:r>
              <w:rPr>
                <w:rFonts w:ascii="仿宋_GB2312" w:hAnsi="仿宋_GB2312" w:cs="仿宋_GB2312" w:eastAsia="仿宋_GB2312"/>
              </w:rPr>
              <w:t>供应商应提供的资格证明材料.docx 服务内容及服务邀请应答表 分项报价清单.docx 中小企业声明函 商务应答表 报价表 供应商应授权合法的人员参加本项目采购会议全过程.docx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供应商的响应报价是否超过采购预算或单一来源采购文件中列明的最高限价。</w:t>
            </w:r>
          </w:p>
        </w:tc>
        <w:tc>
          <w:tcPr>
            <w:tcW w:type="dxa" w:w="3322"/>
          </w:tcPr>
          <w:p>
            <w:pPr>
              <w:pStyle w:val="null3"/>
            </w:pPr>
            <w:r>
              <w:rPr>
                <w:rFonts w:ascii="仿宋_GB2312" w:hAnsi="仿宋_GB2312" w:cs="仿宋_GB2312" w:eastAsia="仿宋_GB2312"/>
              </w:rPr>
              <w:t>供应商的响应报价未超过采购预算或单一来源采购文件中列明的最高限价。</w:t>
            </w:r>
          </w:p>
        </w:tc>
        <w:tc>
          <w:tcPr>
            <w:tcW w:type="dxa" w:w="1661"/>
          </w:tcPr>
          <w:p>
            <w:pPr>
              <w:pStyle w:val="null3"/>
            </w:pPr>
            <w:r>
              <w:rPr>
                <w:rFonts w:ascii="仿宋_GB2312" w:hAnsi="仿宋_GB2312" w:cs="仿宋_GB2312" w:eastAsia="仿宋_GB2312"/>
              </w:rPr>
              <w:t>分项报价清单.docx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供应商应授权合法的人员参加本项目采购会议全过程；</w:t>
            </w:r>
          </w:p>
        </w:tc>
        <w:tc>
          <w:tcPr>
            <w:tcW w:type="dxa" w:w="3322"/>
          </w:tcPr>
          <w:p>
            <w:pPr>
              <w:pStyle w:val="null3"/>
            </w:pPr>
            <w:r>
              <w:rPr>
                <w:rFonts w:ascii="仿宋_GB2312" w:hAnsi="仿宋_GB2312" w:cs="仿宋_GB2312" w:eastAsia="仿宋_GB2312"/>
              </w:rPr>
              <w:t>法定代表人参加协商会议的，应出具法定代表人证明书以及法定代表人合法有效的身份证，且应与营业执照上信息一致。法定代表人授权合法授权代表参加协商会议的，应出具法定代表人证明书、法定代表人授权书及授权代表合法有效的身份证。</w:t>
            </w:r>
          </w:p>
        </w:tc>
        <w:tc>
          <w:tcPr>
            <w:tcW w:type="dxa" w:w="1661"/>
          </w:tcPr>
          <w:p>
            <w:pPr>
              <w:pStyle w:val="null3"/>
            </w:pPr>
            <w:r>
              <w:rPr>
                <w:rFonts w:ascii="仿宋_GB2312" w:hAnsi="仿宋_GB2312" w:cs="仿宋_GB2312" w:eastAsia="仿宋_GB2312"/>
              </w:rPr>
              <w:t>供应商应授权合法的人员参加本项目采购会议全过程.docx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详见附件：供应商应授权合法的人员参加本项目采购会议全过程.docx</w:t>
      </w:r>
    </w:p>
    <w:p>
      <w:pPr>
        <w:pStyle w:val="null3"/>
        <w:ind w:firstLine="960"/>
      </w:pPr>
      <w:r>
        <w:rPr>
          <w:rFonts w:ascii="仿宋_GB2312" w:hAnsi="仿宋_GB2312" w:cs="仿宋_GB2312" w:eastAsia="仿宋_GB2312"/>
        </w:rPr>
        <w:t>详见附件：供应商应提供的资格证明材料.docx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