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版本号：HCXM-CS-2602-0120260228001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2026年春夏季花卉展览服务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HCXM-CS-2602-01</w:t>
      </w:r>
      <w:r>
        <w:br/>
      </w:r>
      <w:r>
        <w:br/>
      </w:r>
      <w:r>
        <w:br/>
      </w:r>
    </w:p>
    <w:p>
      <w:pPr>
        <w:pStyle w:val="null3"/>
        <w:jc w:val="center"/>
        <w:outlineLvl w:val="2"/>
      </w:pPr>
      <w:r>
        <w:rPr>
          <w:rFonts w:ascii="仿宋_GB2312" w:hAnsi="仿宋_GB2312" w:cs="仿宋_GB2312" w:eastAsia="仿宋_GB2312"/>
          <w:sz w:val="28"/>
          <w:b/>
        </w:rPr>
        <w:t>陕西省西安植物园（陕西省植物研究所）</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陕西省西安植物园（陕西省植物研究所）</w:t>
      </w:r>
      <w:r>
        <w:rPr>
          <w:rFonts w:ascii="仿宋_GB2312" w:hAnsi="仿宋_GB2312" w:cs="仿宋_GB2312" w:eastAsia="仿宋_GB2312"/>
        </w:rPr>
        <w:t>委托，拟对</w:t>
      </w:r>
      <w:r>
        <w:rPr>
          <w:rFonts w:ascii="仿宋_GB2312" w:hAnsi="仿宋_GB2312" w:cs="仿宋_GB2312" w:eastAsia="仿宋_GB2312"/>
        </w:rPr>
        <w:t>2026年春夏季花卉展览服务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2026年春夏季花卉展览服务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花卉展览是陕西省西安植物园面向市民观光游览、科学普及的重要桥梁，也是展示西安植物园最新花卉研究成果和花卉新产品的窗口，目前已经持续举办了三十三届。2026年为了顺利举办第三十四届花卉展览，西安植物园花卉展览拟计划采购20万株各类花卉，对园区7000平米展区进行布展和养护。需满足的要求:包括春季以大花飞燕草、毛地黄和切花石竹为主力品种的专题展览（具体品种详见采购清单），并且布展的产品需要以纯基质产品。此外，该项目还需要对植物园的花卉新品种进行扩繁和栽培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采购包1（2026年春夏季花卉展览服务）：属于专门面向中小企业采购。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任一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 （3）、税收缴纳证明：提供2025年6月1日至今任意时间段的纳税证明或完税证明，依法免税的单位应提供相关证明材料; （4）、社会保障资金缴纳证明：提供2025年6月1日至今任意时间段的社会保障资金缴存单据或社保机构开具的社会保险参保缴费情况证明，依法不需要缴纳社会保障资金的单位应提供相关证明材料;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（6）、法定代表人授权书及被授权人身份证。（法定代表人直接投标只须提交其身份证原件）; （7）、供应商应出具参加政府采购活动前3年内在经营活动中没有重大违法记录的书面声明; （8）提供具有履行本合同所必需的设备和专业技术能力的书面声明； 注：本项目不接受联合体投标（提供非联合体承诺书）。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陕西省西安植物园（陕西省植物研究所）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西安市雁塔区红锦路西安植物园综合楼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029-61109924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说明：缴纳中标金额的3%（服务期结束验收合格后退还，扣除标准依据双方合同约定）</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成交人在领取中标通知书时，向汇成项目管理有限公司交纳招标代理服务费。服务费收费标准参照原国家计委《招标代理服务收费管理暂行办法》(计价格[2002]1980号)及《国家发展改革委办公厅关于招标代理服务收费有关问题的通知》[2003]857号文件规定的收费标准规定执行。 服务费账户信息： 户名：汇成项目管理有限公司 账号：6105 0192 5700 0000 0294 开户行：中国建设银行西安高新科技支行。 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陕西省西安植物园（陕西省植物研究所）</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陕西省西安植物园（陕西省植物研究所）</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陕西省西安植物园（陕西省植物研究所）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花卉展览是陕西省西安植物园面向市民观光游览、科学普及的重要桥梁，也是展示西安植物园最新花卉研究成果和花卉新产品的窗口，目前已经持续举办了三十三届。2026年为了顺利举办第三十四届花卉展览，西安植物园花卉展览拟计划采购20万株各类花卉，对园区7000平米展区进行布展和养护。需满足的要求:包括春季以大花飞燕草、毛地黄和切花石竹为主力品种的专题展览（具体品种详见采购清单），并且布展的产品需要以纯基质产品。此外，该项目还需要对植物园的花卉新品种进行扩繁和栽培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2026年西安植物园春夏季花卉展览服务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标的名称：2026年西安植物园春夏季花卉展览服务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一、项目概况及总体要求</w:t>
            </w:r>
          </w:p>
          <w:p>
            <w:pPr>
              <w:pStyle w:val="null3"/>
              <w:ind w:firstLine="480"/>
            </w:pPr>
            <w:r>
              <w:rPr>
                <w:rFonts w:ascii="仿宋_GB2312" w:hAnsi="仿宋_GB2312" w:cs="仿宋_GB2312" w:eastAsia="仿宋_GB2312"/>
              </w:rPr>
              <w:t>花卉展览是陕西省西安植物园面向市民观光游览、科学普及的重要桥梁，也是展示西安植物园最新花卉研究成果和花卉新产品的窗口，目前已经持续举办了三十三届。</w:t>
            </w:r>
            <w:r>
              <w:rPr>
                <w:rFonts w:ascii="仿宋_GB2312" w:hAnsi="仿宋_GB2312" w:cs="仿宋_GB2312" w:eastAsia="仿宋_GB2312"/>
              </w:rPr>
              <w:t>2026年为了顺利举办第三十四届花卉展览，西安植物园花卉展览拟计划</w:t>
            </w:r>
            <w:r>
              <w:rPr>
                <w:rFonts w:ascii="仿宋_GB2312" w:hAnsi="仿宋_GB2312" w:cs="仿宋_GB2312" w:eastAsia="仿宋_GB2312"/>
              </w:rPr>
              <w:t>采购</w:t>
            </w:r>
            <w:r>
              <w:rPr>
                <w:rFonts w:ascii="仿宋_GB2312" w:hAnsi="仿宋_GB2312" w:cs="仿宋_GB2312" w:eastAsia="仿宋_GB2312"/>
              </w:rPr>
              <w:t>20万株各类花卉，</w:t>
            </w:r>
            <w:r>
              <w:rPr>
                <w:rFonts w:ascii="仿宋_GB2312" w:hAnsi="仿宋_GB2312" w:cs="仿宋_GB2312" w:eastAsia="仿宋_GB2312"/>
              </w:rPr>
              <w:t>对园区</w:t>
            </w:r>
            <w:r>
              <w:rPr>
                <w:rFonts w:ascii="仿宋_GB2312" w:hAnsi="仿宋_GB2312" w:cs="仿宋_GB2312" w:eastAsia="仿宋_GB2312"/>
              </w:rPr>
              <w:t>7000平米展区进行布展和养护。需满足的要求:包括春季以大花飞燕草、毛地黄和切花石竹为主力品种的专题展览</w:t>
            </w:r>
            <w:r>
              <w:rPr>
                <w:rFonts w:ascii="仿宋_GB2312" w:hAnsi="仿宋_GB2312" w:cs="仿宋_GB2312" w:eastAsia="仿宋_GB2312"/>
              </w:rPr>
              <w:t>（</w:t>
            </w:r>
            <w:r>
              <w:rPr>
                <w:rFonts w:ascii="仿宋_GB2312" w:hAnsi="仿宋_GB2312" w:cs="仿宋_GB2312" w:eastAsia="仿宋_GB2312"/>
              </w:rPr>
              <w:t>具体品种详见采购清单</w:t>
            </w:r>
            <w:r>
              <w:rPr>
                <w:rFonts w:ascii="仿宋_GB2312" w:hAnsi="仿宋_GB2312" w:cs="仿宋_GB2312" w:eastAsia="仿宋_GB2312"/>
              </w:rPr>
              <w:t>），</w:t>
            </w:r>
            <w:r>
              <w:rPr>
                <w:rFonts w:ascii="仿宋_GB2312" w:hAnsi="仿宋_GB2312" w:cs="仿宋_GB2312" w:eastAsia="仿宋_GB2312"/>
              </w:rPr>
              <w:t>并且布展的产品需要以纯基质产品。</w:t>
            </w:r>
            <w:r>
              <w:rPr>
                <w:rFonts w:ascii="仿宋_GB2312" w:hAnsi="仿宋_GB2312" w:cs="仿宋_GB2312" w:eastAsia="仿宋_GB2312"/>
              </w:rPr>
              <w:t>此外，该项目还需要对植物园的花卉新品种进行扩繁和栽培养护。</w:t>
            </w:r>
          </w:p>
          <w:p>
            <w:pPr>
              <w:pStyle w:val="null3"/>
              <w:ind w:firstLine="480"/>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二、花卉清单</w:t>
            </w:r>
          </w:p>
          <w:tbl>
            <w:tblPr>
              <w:tblBorders>
                <w:top w:val="none" w:color="000000" w:sz="4"/>
                <w:left w:val="none" w:color="000000" w:sz="4"/>
                <w:bottom w:val="none" w:color="000000" w:sz="4"/>
                <w:right w:val="none" w:color="000000" w:sz="4"/>
                <w:insideH w:val="none"/>
                <w:insideV w:val="none"/>
              </w:tblBorders>
            </w:tblPr>
            <w:tblGrid>
              <w:gridCol w:w="138"/>
              <w:gridCol w:w="652"/>
              <w:gridCol w:w="448"/>
              <w:gridCol w:w="342"/>
              <w:gridCol w:w="370"/>
              <w:gridCol w:w="185"/>
              <w:gridCol w:w="286"/>
              <w:gridCol w:w="744"/>
            </w:tblGrid>
            <w:tr>
              <w:tc>
                <w:tcPr>
                  <w:tcW w:type="dxa" w:w="13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序号</w:t>
                  </w:r>
                </w:p>
              </w:tc>
              <w:tc>
                <w:tcPr>
                  <w:tcW w:type="dxa" w:w="6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品种</w:t>
                  </w:r>
                </w:p>
              </w:tc>
              <w:tc>
                <w:tcPr>
                  <w:tcW w:type="dxa" w:w="44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系列</w:t>
                  </w:r>
                </w:p>
              </w:tc>
              <w:tc>
                <w:tcPr>
                  <w:tcW w:type="dxa" w:w="34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颜色</w:t>
                  </w:r>
                </w:p>
              </w:tc>
              <w:tc>
                <w:tcPr>
                  <w:tcW w:type="dxa" w:w="3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规格</w:t>
                  </w:r>
                </w:p>
              </w:tc>
              <w:tc>
                <w:tcPr>
                  <w:tcW w:type="dxa" w:w="1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单位</w:t>
                  </w:r>
                </w:p>
              </w:tc>
              <w:tc>
                <w:tcPr>
                  <w:tcW w:type="dxa" w:w="2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数量</w:t>
                  </w:r>
                </w:p>
              </w:tc>
              <w:tc>
                <w:tcPr>
                  <w:tcW w:type="dxa" w:w="7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备注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淡蓝天空</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粉色激情</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玫红脉纹</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银白</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大红</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800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官黄</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7</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粉宝石</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8</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飞燕草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卫士</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蓝色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9</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毛地黄</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斑点狗</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混色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矮牵牛球</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轻浪</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混色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P100cm</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11</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银叶菊</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银灰</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银色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12</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鲁冰花</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画廊</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混色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800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13</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狐尾天门冬</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2加仑</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14</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木桩围栏</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H15-20</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米</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苏铁</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H50</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16</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丝兰</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H35</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17</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白色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18</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粉红魔术</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19</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深粉</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20</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粉红</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21</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黑樱桃</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22</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品红双色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23</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猩红</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24</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改良紫色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25</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切花石竹（相思梅）</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甜美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红色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26</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超级鼠尾草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大炫蓝</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蓝色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27</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超级鼠尾草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冰蓝</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白色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7000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28</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千日红</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QIS</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混色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35000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29</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彩叶草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赛拉诺</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黄色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彩叶草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欧芹酱</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红色金边</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31</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彩叶草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红女郎</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红色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32</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彩叶草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红锈</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红色金边</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33</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彩叶草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芥末</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黄色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34</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彩叶草</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青柠派</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绿色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35</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大花海棠</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呼啦</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玫红</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36</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超级凤仙</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夏日</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混色</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37</w:t>
                  </w:r>
                </w:p>
              </w:tc>
              <w:tc>
                <w:tcPr>
                  <w:tcW w:type="dxa" w:w="652"/>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大花海棠</w:t>
                  </w:r>
                </w:p>
              </w:tc>
              <w:tc>
                <w:tcPr>
                  <w:tcW w:type="dxa" w:w="448"/>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超级巨星</w:t>
                  </w:r>
                </w:p>
              </w:tc>
              <w:tc>
                <w:tcPr>
                  <w:tcW w:type="dxa" w:w="342"/>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玫红</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38</w:t>
                  </w:r>
                </w:p>
              </w:tc>
              <w:tc>
                <w:tcPr>
                  <w:tcW w:type="dxa" w:w="6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万寿菊</w:t>
                  </w:r>
                </w:p>
              </w:tc>
              <w:tc>
                <w:tcPr>
                  <w:tcW w:type="dxa" w:w="44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奇迹</w:t>
                  </w:r>
                  <w:r>
                    <w:rPr>
                      <w:rFonts w:ascii="仿宋_GB2312" w:hAnsi="仿宋_GB2312" w:cs="仿宋_GB2312" w:eastAsia="仿宋_GB2312"/>
                      <w:sz w:val="18"/>
                      <w:color w:val="000000"/>
                    </w:rPr>
                    <w:t>Ⅱ</w:t>
                  </w:r>
                </w:p>
              </w:tc>
              <w:tc>
                <w:tcPr>
                  <w:tcW w:type="dxa" w:w="34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黄、橙</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150双色盆</w:t>
                  </w: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35000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纯基质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39</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陕西羽叶报春</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40</w:t>
                  </w:r>
                </w:p>
              </w:tc>
              <w:tc>
                <w:tcPr>
                  <w:tcW w:type="dxa" w:w="6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植物园自有品种</w:t>
                  </w: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盆</w:t>
                  </w: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10个品种，1000盆/品种</w:t>
                  </w:r>
                </w:p>
              </w:tc>
            </w:tr>
            <w:tr>
              <w:tc>
                <w:tcPr>
                  <w:tcW w:type="dxa" w:w="138"/>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41</w:t>
                  </w:r>
                </w:p>
              </w:tc>
              <w:tc>
                <w:tcPr>
                  <w:tcW w:type="dxa" w:w="1442"/>
                  <w:gridSpan w:val="3"/>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整地、栽植</w:t>
                  </w:r>
                </w:p>
              </w:tc>
              <w:tc>
                <w:tcPr>
                  <w:tcW w:type="dxa" w:w="37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p>
              </w:tc>
              <w:tc>
                <w:tcPr>
                  <w:tcW w:type="dxa" w:w="18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平米</w:t>
                  </w:r>
                </w:p>
              </w:tc>
              <w:tc>
                <w:tcPr>
                  <w:tcW w:type="dxa" w:w="286"/>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7000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人工、机械、肥料、地表清理</w:t>
                  </w:r>
                </w:p>
              </w:tc>
            </w:tr>
            <w:tr>
              <w:tc>
                <w:tcPr>
                  <w:tcW w:type="dxa" w:w="13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42</w:t>
                  </w:r>
                </w:p>
              </w:tc>
              <w:tc>
                <w:tcPr>
                  <w:tcW w:type="dxa" w:w="1442"/>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养护</w:t>
                  </w:r>
                </w:p>
              </w:tc>
              <w:tc>
                <w:tcPr>
                  <w:tcW w:type="dxa" w:w="3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平米</w:t>
                  </w:r>
                </w:p>
              </w:tc>
              <w:tc>
                <w:tcPr>
                  <w:tcW w:type="dxa" w:w="2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7000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含浇水、施肥、除草、病虫害防治</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43</w:t>
                  </w:r>
                </w:p>
              </w:tc>
              <w:tc>
                <w:tcPr>
                  <w:tcW w:type="dxa" w:w="144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税费</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（服务类增值税发票）</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44</w:t>
                  </w:r>
                </w:p>
              </w:tc>
              <w:tc>
                <w:tcPr>
                  <w:tcW w:type="dxa" w:w="144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合计</w:t>
                  </w:r>
                </w:p>
              </w:tc>
              <w:tc>
                <w:tcPr>
                  <w:tcW w:type="dxa" w:w="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承包人按项目服务要求及特性，自行组织项目实施与管理，建立以项目负责人为核心的服务团队，实行项目负责人责任制，相关人员经过严格培训，能够胜任项目工作，保证项目顺利实施。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承包人根据项目特性，自行配置投入有利于完成本项目服务各类设施设备（包含但不限于专业设备、辅助设备、工具、软件等）。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自合同签订生效之日起至2026年8月30日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西安植物园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括布展数量及养护管理等均达到甲方要求，采购人单位根据有关服务规范规定，不定期对服务方的服务进行检查或考核，承包人须无条件的接受采购人的各类考核或检查；若审查不通过或质量不合格，承包人应在一定期限进行整改完善，以采购人要求的标准提供合格服务；若承包人在接受检查整改后，仍不能提供符合采购要求的合格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合同签订生效后，乙方开始服务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春季花卉展览服务（2026年4月1日）布展结束后，验收合格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夏季花卉展览服务（2026年5月15日）春季养护结束，夏季花展布展结束，验收合格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夏季花卉展览服务（2026年8月30日）养护结束后，验收合格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2、乙方未于甲方指定时间将本合同约定花卉交付至甲方指定地点的，甲方有权拒绝向乙方支付合同款项。 3、乙方提供的货物存在质量问题，应及时更换。乙方未按照甲方要求更换或更换仍不能满足甲方要求的，甲方有权拒绝支付合同款项并要求乙方承担因此给甲方造成的全部损失的（包括但不限于直接损失、间接损失及甲方因实现权利而产生的诉讼费、律师费、保全费等）。 4、甲、乙双方因不可抗力不能履行合同时，应当及时通知对方，并在合理期内提供有关证明，双方可协商全部或部分免除违约方的责任。 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任一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 （3）、税收缴纳证明：提供2025年6月1日至今任意时间段的纳税证明或完税证明，依法免税的单位应提供相关证明材料; （4）、社会保障资金缴纳证明：提供2025年6月1日至今任意时间段的社会保障资金缴存单据或社保机构开具的社会保险参保缴费情况证明，依法不需要缴纳社会保障资金的单位应提供相关证明材料;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（6）、法定代表人授权书及被授权人身份证。（法定代表人直接投标只须提交其身份证原件）; （7）、供应商应出具参加政府采购活动前3年内在经营活动中没有重大违法记录的书面声明; （8）提供具有履行本合同所必需的设备和专业技术能力的书面声明； 注：本项目不接受联合体投标（提供非联合体承诺书）。</w:t>
            </w:r>
          </w:p>
        </w:tc>
        <w:tc>
          <w:tcPr>
            <w:tcW w:type="dxa" w:w="1661"/>
          </w:tcPr>
          <w:p>
            <w:pPr>
              <w:pStyle w:val="null3"/>
            </w:pPr>
            <w:r>
              <w:rPr>
                <w:rFonts w:ascii="仿宋_GB2312" w:hAnsi="仿宋_GB2312" w:cs="仿宋_GB2312" w:eastAsia="仿宋_GB2312"/>
              </w:rPr>
              <w:t>响应文件封面 非联合体承诺书.docx 中小企业声明函 残疾人福利性单位声明函 拒绝政府采购领域商业贿赂承诺书.docx 供应商应提交的相关资格证明材料 响应函 监狱企业的证明文件 供应商关联承诺书.docx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针对本项目有整体服务方案，包括但不限于工作目标、定位实施方案、岗位职责制度与考核办法、工作秩序、以及本项目重点、难点把控等。 1、整体服务方案全面具体、针对性强、服务思路清晰、服务标准高、质量标准明确、可操作及可行性强、能完全满足本项目采购所需的得12分。 2、整体服务方案较为全面、针对性较好、服务思路清晰、服务标准合格、质量标准明确、可操作及可行性良好、能满足基本采购所需的得9分。 3、整体服务方案不全面、针对性一般、服务思路不清晰、服务标准一般、质量标准一般、缺少关键点、可操作及可行性一般、不能满足基本采购所需的得6分。 4、整体服务方案简单、无针对性，服务标准较低，可操作及可行性较差，不能满足采购所需的得3分。 未提供整体服务方案或整体服务方案完全脱离项目实际的不得分。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整体服务方案.docx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花卉展览会服务方案</w:t>
            </w:r>
          </w:p>
        </w:tc>
        <w:tc>
          <w:tcPr>
            <w:tcW w:type="dxa" w:w="2492"/>
          </w:tcPr>
          <w:p>
            <w:pPr>
              <w:pStyle w:val="null3"/>
            </w:pPr>
            <w:r>
              <w:rPr>
                <w:rFonts w:ascii="仿宋_GB2312" w:hAnsi="仿宋_GB2312" w:cs="仿宋_GB2312" w:eastAsia="仿宋_GB2312"/>
              </w:rPr>
              <w:t>提供花卉展览会议服务方案，应当包含但不限于会议策划、会议组织、主题定位、地租布置、物料制作、会议举行、会议接待、现场管理和服务等配套服务。 1、会议服务方案全面具体、针对性强、主题思路明确、服务标准高、可操作及可行性强、能完全满足采购所需的得10分。 2、会议服务方案较为全面、针对性较好、主题思路清晰、服务标准合格、可操作及可行性良好、能满足采购基本所需的得8分。 3、会议服务方案不全面、针对性一般、主题思路不清晰、服务标准一般、缺少关键点、可操作及可行性一般、不能满足采购基本所需的得6分。 4、会议服务方案简单、无针对性、无主题思路、服务标准较低、可操作及可行性较差、不能满足采购所需的得3分。 未提供会议服务方案或会议服务方案完全脱离采购实际的不得分。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花卉展览会服务.docx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苗木培育及养护方案</w:t>
            </w:r>
          </w:p>
        </w:tc>
        <w:tc>
          <w:tcPr>
            <w:tcW w:type="dxa" w:w="2492"/>
          </w:tcPr>
          <w:p>
            <w:pPr>
              <w:pStyle w:val="null3"/>
            </w:pPr>
            <w:r>
              <w:rPr>
                <w:rFonts w:ascii="仿宋_GB2312" w:hAnsi="仿宋_GB2312" w:cs="仿宋_GB2312" w:eastAsia="仿宋_GB2312"/>
              </w:rPr>
              <w:t>提供花卉培育及养护方案，应当包含但不限于花材清单中花卉的培育（选种、整地、改良土壤、种植等）、养护（施肥、浇水、除草、病虫防治、花苗更换等）等内容等。 1、培育及养护方案全面具体、针对性强、服务标准高、可操作及可行性强、能完全满足采购所需的得10分。 2、培育及养护方案较为全面、针对性较好、服务标准合格、可操作及可行性良好、能满足采购基本所需的得8分。 3、培育及养护方案不全面、针对性一般、服务标准一般、缺少关键点，可操作及可行性一般、不能满足采购基本所需的得6分。 4、培育及养护方案简单、无针对性，服务标准较低，可操作及可行性较差，不能满足采购所需的得3分。 未提供培育及养护方案或培育及养护方案完全脱离采购实际的不得分。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苗木培育及养护方案.docx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针对本项目拟定的各岗位管理制度、自查制度、内控制度、工作质量标准、奖惩考核机制等有明确方案措施。 1、管理措施及制度完整全面、科学合理、针对性强、可操作及可行性高，完全满足采购要求的得10分； 2、管理措施及制度较为全面、科学合理性较好、针对性较好，可操作及可行性良好，能满足采购基本所需的得8分。 3、管理措施及制度不全面、科学合理性一般、针对性一般、可操作及可行性一般、缺少部分关键点，不能完全满足基本采购所需的得6分。 4、管理措施及制度简单、无科学合理性、无针对性、可操作及可行性较差，不能满足采购所需的得3分。 未提供管理措施及制度或管理措施及制度完全脱离采购实际的不得分。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管理措施及制度.docx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拟投入设备配备方案（1）</w:t>
            </w:r>
          </w:p>
        </w:tc>
        <w:tc>
          <w:tcPr>
            <w:tcW w:type="dxa" w:w="2492"/>
          </w:tcPr>
          <w:p>
            <w:pPr>
              <w:pStyle w:val="null3"/>
            </w:pPr>
            <w:r>
              <w:rPr>
                <w:rFonts w:ascii="仿宋_GB2312" w:hAnsi="仿宋_GB2312" w:cs="仿宋_GB2312" w:eastAsia="仿宋_GB2312"/>
              </w:rPr>
              <w:t>针对拟投入本项目的设施设备提供相关（包括但不限于设备的清单、来源、配套使用情况以及储存场地的标准、安全、管理等）证明材料。 1、拟投入设备方案配套齐全、设备数量充足、能有效保证项目顺利实施的得6分； 2、拟投入设备方案配套基本齐全、设备数量较为充足、能基本保证项目顺利实施的得4分； 3、拟投入设备方案配套不齐全、设备数量一般、缺少关键设施设备，不能保证基本所需的得2分。 未提供设备方案或设备方案与本项目实施无关的不得分。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拟投入人员配备方案（1）.docx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拟投入人员配备方案（2）</w:t>
            </w:r>
          </w:p>
        </w:tc>
        <w:tc>
          <w:tcPr>
            <w:tcW w:type="dxa" w:w="2492"/>
          </w:tcPr>
          <w:p>
            <w:pPr>
              <w:pStyle w:val="null3"/>
            </w:pPr>
            <w:r>
              <w:rPr>
                <w:rFonts w:ascii="仿宋_GB2312" w:hAnsi="仿宋_GB2312" w:cs="仿宋_GB2312" w:eastAsia="仿宋_GB2312"/>
              </w:rPr>
              <w:t>针对拟投入本项目的服务人员配置合理、职责明确、分工清晰合理、相关人员经过严格培训、有相应的工作经验等有详细的描述和相关（包括但不限于执业证、劳动合同、从业证明、资格证书等）证明材料； 1、拟派配人员配备合理、人员数量充足、职责明确、分工清晰、工作经历丰富、能够完全满足采购所需的得8分； 2、拟派人员配备较为合理、人员数量充足、职责较为明确、分工较为清晰、缺少部分工作经历、但能满足基本采购所需的得6分； 3、拟派人员配备较为合理、人员数量一般、职责、分工一般、缺少部分工作经历、勉强能满足基本采购所需的得4分； 4、拟派人员配备不合理且有欠缺、人员数量无保证、职责、分工不明确、工作经历较少、不能够满足采购所需的得2分； 未提供人员配备方案或完全脱离项目实际的得0分。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拟投入人员配备方案（2）.docx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针对本项目服务有服务质量保障措施或相关承诺，包括但不限于项目服务时间、服务质量、服务人员到位情况等有实质性方案措施或相关承诺； 1、服务质量保障措施或相关承诺完整详细、科学合理，能保质保量按时完成、人员及时到位，响应及时有保障的得6分； 2、服务质量保障措施或相关承诺较为完整详细、较为科学合理，完成时间和完成质量较为勉强、人员到位较为及时，较为勉强的得4分； 3、服务质量保障措施或相关承诺存在缺陷，完成时间和完成质量无法保证，人员无法及时到位，服务无保障的得2分； 未提供服务质量保障措施或完全脱离项目实际的不得分。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服务质量保障.docx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针对本项目服务过程中出现的市场供求变化、恶性天气、设备、重大节假日或活动以及服务过程出现问题等特殊或突发事件有相应的应急预案及补救措施； 1、应急预案完备健全，科学性强、合理性强、可行性强的得6分； 2、应急预案较为完备健全，方案具有一定科学性、合理性较好、基本可行性的得4分； 3、应急预案完备程度一般，方案合理性一般、可行性低或需要优化后才能基本满足项目需要的得2分。 未提供应急措施或应急措施完全脱离项目实际的不得分。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保密、廉洁措施</w:t>
            </w:r>
          </w:p>
        </w:tc>
        <w:tc>
          <w:tcPr>
            <w:tcW w:type="dxa" w:w="2492"/>
          </w:tcPr>
          <w:p>
            <w:pPr>
              <w:pStyle w:val="null3"/>
            </w:pPr>
            <w:r>
              <w:rPr>
                <w:rFonts w:ascii="仿宋_GB2312" w:hAnsi="仿宋_GB2312" w:cs="仿宋_GB2312" w:eastAsia="仿宋_GB2312"/>
              </w:rPr>
              <w:t>针对本项目有严格的保密、廉洁措施； 1、保密、廉洁措施完善，针对性强、成熟具体的得6分； 2、保密、廉洁措施较为完善、针对性较好、较为成熟具体的4分； 3、保密、廉洁措施方案简单、可行性低、不够具体的得2分； 未提供保密、廉洁措施或保密、廉洁措施完全脱离实际的不得分。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保密、廉洁措施方案.docx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履约能力及后续服务</w:t>
            </w:r>
          </w:p>
        </w:tc>
        <w:tc>
          <w:tcPr>
            <w:tcW w:type="dxa" w:w="2492"/>
          </w:tcPr>
          <w:p>
            <w:pPr>
              <w:pStyle w:val="null3"/>
            </w:pPr>
            <w:r>
              <w:rPr>
                <w:rFonts w:ascii="仿宋_GB2312" w:hAnsi="仿宋_GB2312" w:cs="仿宋_GB2312" w:eastAsia="仿宋_GB2312"/>
              </w:rPr>
              <w:t>针对本项目有详细完整可行的售后服务措施及承诺，包括但不限于后续服务商式、响应时间及方式、人员到位情况等。 1、售后服务措施及承诺全面具体、科学合理、可行性强的得6分； 2、售后服务措施及承诺较为全面具体、合理性较好、基本可行的得4分； 3、售后服务措施及承诺缺少关键点、不完善、可行性的得2分； 未提供售后服务措施及承诺或售后服务措施及承诺完全脱离项目实际的不得分。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履约能力及后续服务.docx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具有2023年1月1日起至今的类似项目(花卉种植养护或花卉展览)业绩，业绩以合同扫描件（复印件）为依据；每提供1个业绩合同得2分，最多得10分。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（1）按照财政部财库〔2014〕214号文件第二十四条和 财库〔2020〕46号文件的规定，采用低价优先法计算，以本次满足磋商文件要求的最终最低评审价为磋商基准价，其磋商报价为满分。其他供应商的价格分，统一按照下列公式计算：磋商评审价=磋商最后报价×（1-磋商报价扣除幅度 ），磋商报价得分=(磋商基准价／磋商评审价)×10 ；（最低报价不是中标的唯一依据。因落实政府采购政策进行价格调整的，以调整后的价格计算评标基准价和响应报价。）（2）供应商报价扣除幅度如下： 供应商提供的服务全部为小微企业提供的，给予磋商报价扣除10% 优惠政策，只要有大中型企业提供服务情形的，就不得享受价格扣除优惠政策。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详见附件：服务质量保障.docx</w:t>
      </w:r>
    </w:p>
    <w:p>
      <w:pPr>
        <w:pStyle w:val="null3"/>
        <w:ind w:firstLine="960"/>
      </w:pPr>
      <w:r>
        <w:rPr>
          <w:rFonts w:ascii="仿宋_GB2312" w:hAnsi="仿宋_GB2312" w:cs="仿宋_GB2312" w:eastAsia="仿宋_GB2312"/>
        </w:rPr>
        <w:t>详见附件：保密、廉洁措施方案.docx</w:t>
      </w:r>
    </w:p>
    <w:p>
      <w:pPr>
        <w:pStyle w:val="null3"/>
        <w:ind w:firstLine="960"/>
      </w:pPr>
      <w:r>
        <w:rPr>
          <w:rFonts w:ascii="仿宋_GB2312" w:hAnsi="仿宋_GB2312" w:cs="仿宋_GB2312" w:eastAsia="仿宋_GB2312"/>
        </w:rPr>
        <w:t>详见附件：管理措施及制度.docx</w:t>
      </w:r>
    </w:p>
    <w:p>
      <w:pPr>
        <w:pStyle w:val="null3"/>
        <w:ind w:firstLine="960"/>
      </w:pPr>
      <w:r>
        <w:rPr>
          <w:rFonts w:ascii="仿宋_GB2312" w:hAnsi="仿宋_GB2312" w:cs="仿宋_GB2312" w:eastAsia="仿宋_GB2312"/>
        </w:rPr>
        <w:t>详见附件：花卉展览会服务.docx</w:t>
      </w:r>
    </w:p>
    <w:p>
      <w:pPr>
        <w:pStyle w:val="null3"/>
        <w:ind w:firstLine="960"/>
      </w:pPr>
      <w:r>
        <w:rPr>
          <w:rFonts w:ascii="仿宋_GB2312" w:hAnsi="仿宋_GB2312" w:cs="仿宋_GB2312" w:eastAsia="仿宋_GB2312"/>
        </w:rPr>
        <w:t>详见附件：履约能力及后续服务.docx</w:t>
      </w:r>
    </w:p>
    <w:p>
      <w:pPr>
        <w:pStyle w:val="null3"/>
        <w:ind w:firstLine="960"/>
      </w:pPr>
      <w:r>
        <w:rPr>
          <w:rFonts w:ascii="仿宋_GB2312" w:hAnsi="仿宋_GB2312" w:cs="仿宋_GB2312" w:eastAsia="仿宋_GB2312"/>
        </w:rPr>
        <w:t>详见附件：苗木培育及养护方案.docx</w:t>
      </w:r>
    </w:p>
    <w:p>
      <w:pPr>
        <w:pStyle w:val="null3"/>
        <w:ind w:firstLine="960"/>
      </w:pPr>
      <w:r>
        <w:rPr>
          <w:rFonts w:ascii="仿宋_GB2312" w:hAnsi="仿宋_GB2312" w:cs="仿宋_GB2312" w:eastAsia="仿宋_GB2312"/>
        </w:rPr>
        <w:t>详见附件：拟投入人员配备方案（1）.docx</w:t>
      </w:r>
    </w:p>
    <w:p>
      <w:pPr>
        <w:pStyle w:val="null3"/>
        <w:ind w:firstLine="960"/>
      </w:pPr>
      <w:r>
        <w:rPr>
          <w:rFonts w:ascii="仿宋_GB2312" w:hAnsi="仿宋_GB2312" w:cs="仿宋_GB2312" w:eastAsia="仿宋_GB2312"/>
        </w:rPr>
        <w:t>详见附件：拟投入人员配备方案（2）.docx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详见附件：整体服务方案.docx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