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A15B4">
      <w:pPr>
        <w:spacing w:before="58" w:line="360" w:lineRule="auto"/>
        <w:jc w:val="center"/>
        <w:outlineLvl w:val="0"/>
        <w:rPr>
          <w:rFonts w:hint="eastAsia" w:ascii="仿宋" w:hAnsi="仿宋" w:eastAsia="仿宋" w:cs="仿宋"/>
          <w:b/>
          <w:color w:val="auto"/>
          <w:spacing w:val="6"/>
          <w:sz w:val="44"/>
          <w:szCs w:val="44"/>
          <w:highlight w:val="none"/>
        </w:rPr>
      </w:pPr>
      <w:r>
        <w:rPr>
          <w:rFonts w:hint="eastAsia" w:ascii="仿宋" w:hAnsi="仿宋" w:eastAsia="仿宋" w:cs="仿宋"/>
          <w:b/>
          <w:color w:val="auto"/>
          <w:spacing w:val="6"/>
          <w:sz w:val="44"/>
          <w:szCs w:val="44"/>
          <w:highlight w:val="none"/>
        </w:rPr>
        <w:t>拟签订采购合同文本</w:t>
      </w:r>
    </w:p>
    <w:p w14:paraId="590AF37F">
      <w:pPr>
        <w:pStyle w:val="4"/>
        <w:spacing w:line="360" w:lineRule="auto"/>
        <w:ind w:firstLine="210"/>
        <w:jc w:val="center"/>
        <w:rPr>
          <w:rFonts w:hint="eastAsia" w:ascii="仿宋" w:hAnsi="仿宋" w:eastAsia="仿宋" w:cs="仿宋"/>
          <w:color w:val="auto"/>
          <w:highlight w:val="none"/>
        </w:rPr>
      </w:pPr>
      <w:r>
        <w:rPr>
          <w:rFonts w:hint="eastAsia" w:ascii="仿宋" w:hAnsi="仿宋" w:eastAsia="仿宋" w:cs="仿宋"/>
          <w:color w:val="auto"/>
          <w:highlight w:val="none"/>
        </w:rPr>
        <w:t>（本格式条款供双方签订合同参考，采购人可根据项目的实际情况增减条款和内容）</w:t>
      </w:r>
    </w:p>
    <w:p w14:paraId="3F5CCD4E">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合同编号： </w:t>
      </w:r>
    </w:p>
    <w:p w14:paraId="63628405">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签订地点： </w:t>
      </w:r>
    </w:p>
    <w:p w14:paraId="053AA1F4">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签订时间：</w:t>
      </w:r>
    </w:p>
    <w:p w14:paraId="5777549D">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甲</w:t>
      </w:r>
      <w:r>
        <w:rPr>
          <w:rFonts w:hint="eastAsia" w:ascii="仿宋" w:hAnsi="仿宋" w:eastAsia="仿宋" w:cs="仿宋"/>
          <w:color w:val="auto"/>
          <w:szCs w:val="21"/>
          <w:highlight w:val="none"/>
        </w:rPr>
        <w:t>方（甲方）：</w:t>
      </w:r>
    </w:p>
    <w:p w14:paraId="1EE8BEA3">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乙方（乙方）：</w:t>
      </w:r>
    </w:p>
    <w:p w14:paraId="4C9D9635">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根据《中华人民共和国政府采购法》及实施条例、《中华人民共和国民法典》和甲方</w:t>
      </w:r>
      <w:r>
        <w:rPr>
          <w:rFonts w:hint="eastAsia" w:ascii="仿宋" w:hAnsi="仿宋" w:eastAsia="仿宋" w:cs="仿宋"/>
          <w:color w:val="auto"/>
          <w:szCs w:val="21"/>
          <w:highlight w:val="none"/>
          <w:u w:val="single"/>
        </w:rPr>
        <w:t xml:space="preserve"> （项目名称）（项目编号）</w:t>
      </w:r>
      <w:r>
        <w:rPr>
          <w:rFonts w:hint="eastAsia" w:ascii="仿宋" w:hAnsi="仿宋" w:eastAsia="仿宋" w:cs="仿宋"/>
          <w:color w:val="auto"/>
          <w:szCs w:val="21"/>
          <w:highlight w:val="none"/>
        </w:rPr>
        <w:t>的竞争性磋商文件、响应文件等有关规定，为确保甲方采购项目的顺利实施，甲、乙双方在平等自愿原则下签订本合同，并共同遵守如下条款：</w:t>
      </w:r>
    </w:p>
    <w:p w14:paraId="73935F25">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第一条 项目概况</w:t>
      </w:r>
    </w:p>
    <w:p w14:paraId="0CEC7277">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乙方按照采购要求，为甲方提供花卉新品种展览会议服务以及花卉种植及养护等服务、要求展览会议圆满举行、花卉种植良好、花卉养护到位，保证各项服务符合国家（行业）强制性标准及甲方要求。</w:t>
      </w:r>
    </w:p>
    <w:p w14:paraId="532573D6">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第二条 服务期限</w:t>
      </w:r>
    </w:p>
    <w:p w14:paraId="18A224B8">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自</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日至</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673539FE">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第三条 服务内容与质量标准</w:t>
      </w:r>
    </w:p>
    <w:p w14:paraId="1A3BBE8D">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1、服务内容清单</w:t>
      </w:r>
    </w:p>
    <w:tbl>
      <w:tblPr>
        <w:tblStyle w:val="5"/>
        <w:tblW w:w="9825" w:type="dxa"/>
        <w:jc w:val="center"/>
        <w:tblLayout w:type="autofit"/>
        <w:tblCellMar>
          <w:top w:w="0" w:type="dxa"/>
          <w:left w:w="108" w:type="dxa"/>
          <w:bottom w:w="0" w:type="dxa"/>
          <w:right w:w="108" w:type="dxa"/>
        </w:tblCellMar>
      </w:tblPr>
      <w:tblGrid>
        <w:gridCol w:w="709"/>
        <w:gridCol w:w="2198"/>
        <w:gridCol w:w="1416"/>
        <w:gridCol w:w="846"/>
        <w:gridCol w:w="1116"/>
        <w:gridCol w:w="1228"/>
        <w:gridCol w:w="1276"/>
        <w:gridCol w:w="1036"/>
      </w:tblGrid>
      <w:tr w14:paraId="04316D23">
        <w:tblPrEx>
          <w:tblCellMar>
            <w:top w:w="0" w:type="dxa"/>
            <w:left w:w="108" w:type="dxa"/>
            <w:bottom w:w="0" w:type="dxa"/>
            <w:right w:w="108" w:type="dxa"/>
          </w:tblCellMar>
        </w:tblPrEx>
        <w:trPr>
          <w:trHeight w:val="372"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842BB">
            <w:pPr>
              <w:widowControl/>
              <w:spacing w:line="360" w:lineRule="auto"/>
              <w:textAlignment w:val="center"/>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lang w:bidi="ar"/>
              </w:rPr>
              <w:t>序号</w:t>
            </w:r>
          </w:p>
        </w:tc>
        <w:tc>
          <w:tcPr>
            <w:tcW w:w="2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FAD9F">
            <w:pPr>
              <w:widowControl/>
              <w:spacing w:line="360" w:lineRule="auto"/>
              <w:textAlignment w:val="center"/>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lang w:bidi="ar"/>
              </w:rPr>
              <w:t>名称</w:t>
            </w:r>
          </w:p>
        </w:tc>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3094B">
            <w:pPr>
              <w:widowControl/>
              <w:spacing w:line="360" w:lineRule="auto"/>
              <w:textAlignment w:val="center"/>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lang w:bidi="ar"/>
              </w:rPr>
              <w:t>规格</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3C406">
            <w:pPr>
              <w:widowControl/>
              <w:spacing w:line="360" w:lineRule="auto"/>
              <w:textAlignment w:val="center"/>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lang w:bidi="ar"/>
              </w:rPr>
              <w:t>单位</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C8E1E">
            <w:pPr>
              <w:widowControl/>
              <w:spacing w:line="360" w:lineRule="auto"/>
              <w:textAlignment w:val="center"/>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lang w:bidi="ar"/>
              </w:rPr>
              <w:t>数量</w:t>
            </w: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DBC9">
            <w:pPr>
              <w:widowControl/>
              <w:spacing w:line="360" w:lineRule="auto"/>
              <w:textAlignment w:val="center"/>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lang w:bidi="ar"/>
              </w:rPr>
              <w:t>单价（元）</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E299A">
            <w:pPr>
              <w:widowControl/>
              <w:spacing w:line="360" w:lineRule="auto"/>
              <w:textAlignment w:val="center"/>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lang w:bidi="ar"/>
              </w:rPr>
              <w:t>合计（元）</w:t>
            </w:r>
          </w:p>
        </w:tc>
        <w:tc>
          <w:tcPr>
            <w:tcW w:w="10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61F4C">
            <w:pPr>
              <w:widowControl/>
              <w:spacing w:line="360" w:lineRule="auto"/>
              <w:ind w:firstLine="201" w:firstLineChars="100"/>
              <w:jc w:val="left"/>
              <w:textAlignment w:val="center"/>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lang w:bidi="ar"/>
              </w:rPr>
              <w:t>备注</w:t>
            </w:r>
          </w:p>
        </w:tc>
      </w:tr>
      <w:tr w14:paraId="5590FF60">
        <w:tblPrEx>
          <w:tblCellMar>
            <w:top w:w="0" w:type="dxa"/>
            <w:left w:w="108" w:type="dxa"/>
            <w:bottom w:w="0" w:type="dxa"/>
            <w:right w:w="108" w:type="dxa"/>
          </w:tblCellMar>
        </w:tblPrEx>
        <w:trPr>
          <w:trHeight w:val="372"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0C63">
            <w:pPr>
              <w:widowControl/>
              <w:spacing w:line="360" w:lineRule="auto"/>
              <w:ind w:firstLine="400"/>
              <w:textAlignment w:val="center"/>
              <w:rPr>
                <w:rFonts w:hint="eastAsia" w:ascii="仿宋" w:hAnsi="仿宋" w:eastAsia="仿宋" w:cs="仿宋"/>
                <w:color w:val="auto"/>
                <w:sz w:val="20"/>
                <w:szCs w:val="20"/>
                <w:highlight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BB7D2">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2859">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1F655">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439E">
            <w:pPr>
              <w:widowControl/>
              <w:spacing w:line="360" w:lineRule="auto"/>
              <w:ind w:firstLine="400"/>
              <w:textAlignment w:val="center"/>
              <w:rPr>
                <w:rFonts w:hint="eastAsia" w:ascii="仿宋" w:hAnsi="仿宋" w:eastAsia="仿宋" w:cs="仿宋"/>
                <w:color w:val="auto"/>
                <w:sz w:val="20"/>
                <w:szCs w:val="20"/>
                <w:highlight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B723">
            <w:pPr>
              <w:widowControl/>
              <w:spacing w:line="360" w:lineRule="auto"/>
              <w:ind w:firstLine="400"/>
              <w:textAlignment w:val="center"/>
              <w:rPr>
                <w:rFonts w:hint="eastAsia" w:ascii="仿宋" w:hAnsi="仿宋" w:eastAsia="仿宋" w:cs="仿宋"/>
                <w:color w:val="auto"/>
                <w:sz w:val="20"/>
                <w:szCs w:val="20"/>
                <w:highlight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3D826">
            <w:pPr>
              <w:widowControl/>
              <w:spacing w:line="360" w:lineRule="auto"/>
              <w:ind w:firstLine="400"/>
              <w:textAlignment w:val="center"/>
              <w:rPr>
                <w:rFonts w:hint="eastAsia" w:ascii="仿宋" w:hAnsi="仿宋" w:eastAsia="仿宋" w:cs="仿宋"/>
                <w:color w:val="auto"/>
                <w:sz w:val="20"/>
                <w:szCs w:val="20"/>
                <w:highlight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F946">
            <w:pPr>
              <w:widowControl/>
              <w:spacing w:line="360" w:lineRule="auto"/>
              <w:ind w:firstLine="400"/>
              <w:textAlignment w:val="center"/>
              <w:rPr>
                <w:rFonts w:hint="eastAsia" w:ascii="仿宋" w:hAnsi="仿宋" w:eastAsia="仿宋" w:cs="仿宋"/>
                <w:color w:val="auto"/>
                <w:sz w:val="20"/>
                <w:szCs w:val="20"/>
                <w:highlight w:val="none"/>
              </w:rPr>
            </w:pPr>
          </w:p>
        </w:tc>
      </w:tr>
      <w:tr w14:paraId="5E0A64BC">
        <w:tblPrEx>
          <w:tblCellMar>
            <w:top w:w="0" w:type="dxa"/>
            <w:left w:w="108" w:type="dxa"/>
            <w:bottom w:w="0" w:type="dxa"/>
            <w:right w:w="108" w:type="dxa"/>
          </w:tblCellMar>
        </w:tblPrEx>
        <w:trPr>
          <w:trHeight w:val="372"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90FB">
            <w:pPr>
              <w:widowControl/>
              <w:spacing w:line="360" w:lineRule="auto"/>
              <w:ind w:firstLine="400"/>
              <w:textAlignment w:val="center"/>
              <w:rPr>
                <w:rFonts w:hint="eastAsia" w:ascii="仿宋" w:hAnsi="仿宋" w:eastAsia="仿宋" w:cs="仿宋"/>
                <w:color w:val="auto"/>
                <w:sz w:val="20"/>
                <w:szCs w:val="20"/>
                <w:highlight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5CD73">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E4ABC">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473E7">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1CFA">
            <w:pPr>
              <w:widowControl/>
              <w:spacing w:line="360" w:lineRule="auto"/>
              <w:ind w:firstLine="400"/>
              <w:textAlignment w:val="center"/>
              <w:rPr>
                <w:rFonts w:hint="eastAsia" w:ascii="仿宋" w:hAnsi="仿宋" w:eastAsia="仿宋" w:cs="仿宋"/>
                <w:color w:val="auto"/>
                <w:sz w:val="20"/>
                <w:szCs w:val="20"/>
                <w:highlight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BAF38">
            <w:pPr>
              <w:widowControl/>
              <w:spacing w:line="360" w:lineRule="auto"/>
              <w:ind w:firstLine="400"/>
              <w:textAlignment w:val="center"/>
              <w:rPr>
                <w:rFonts w:hint="eastAsia" w:ascii="仿宋" w:hAnsi="仿宋" w:eastAsia="仿宋" w:cs="仿宋"/>
                <w:color w:val="auto"/>
                <w:sz w:val="20"/>
                <w:szCs w:val="20"/>
                <w:highlight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71DAB">
            <w:pPr>
              <w:widowControl/>
              <w:spacing w:line="360" w:lineRule="auto"/>
              <w:ind w:firstLine="400"/>
              <w:textAlignment w:val="center"/>
              <w:rPr>
                <w:rFonts w:hint="eastAsia" w:ascii="仿宋" w:hAnsi="仿宋" w:eastAsia="仿宋" w:cs="仿宋"/>
                <w:color w:val="auto"/>
                <w:sz w:val="20"/>
                <w:szCs w:val="20"/>
                <w:highlight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DD46">
            <w:pPr>
              <w:widowControl/>
              <w:spacing w:line="360" w:lineRule="auto"/>
              <w:ind w:firstLine="400"/>
              <w:textAlignment w:val="center"/>
              <w:rPr>
                <w:rFonts w:hint="eastAsia" w:ascii="仿宋" w:hAnsi="仿宋" w:eastAsia="仿宋" w:cs="仿宋"/>
                <w:color w:val="auto"/>
                <w:sz w:val="20"/>
                <w:szCs w:val="20"/>
                <w:highlight w:val="none"/>
              </w:rPr>
            </w:pPr>
          </w:p>
        </w:tc>
      </w:tr>
      <w:tr w14:paraId="17210C1F">
        <w:tblPrEx>
          <w:tblCellMar>
            <w:top w:w="0" w:type="dxa"/>
            <w:left w:w="108" w:type="dxa"/>
            <w:bottom w:w="0" w:type="dxa"/>
            <w:right w:w="108" w:type="dxa"/>
          </w:tblCellMar>
        </w:tblPrEx>
        <w:trPr>
          <w:trHeight w:val="372"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1DBA4">
            <w:pPr>
              <w:widowControl/>
              <w:spacing w:line="360" w:lineRule="auto"/>
              <w:ind w:firstLine="400"/>
              <w:textAlignment w:val="center"/>
              <w:rPr>
                <w:rFonts w:hint="eastAsia" w:ascii="仿宋" w:hAnsi="仿宋" w:eastAsia="仿宋" w:cs="仿宋"/>
                <w:color w:val="auto"/>
                <w:sz w:val="20"/>
                <w:szCs w:val="20"/>
                <w:highlight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0B515">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A9D2A">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00097">
            <w:pPr>
              <w:widowControl/>
              <w:spacing w:line="360" w:lineRule="auto"/>
              <w:ind w:firstLine="400"/>
              <w:textAlignment w:val="center"/>
              <w:rPr>
                <w:rFonts w:hint="eastAsia" w:ascii="仿宋" w:hAnsi="仿宋" w:eastAsia="仿宋" w:cs="仿宋"/>
                <w:color w:val="auto"/>
                <w:sz w:val="20"/>
                <w:szCs w:val="20"/>
                <w:highlight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8848">
            <w:pPr>
              <w:widowControl/>
              <w:spacing w:line="360" w:lineRule="auto"/>
              <w:ind w:firstLine="400"/>
              <w:textAlignment w:val="center"/>
              <w:rPr>
                <w:rFonts w:hint="eastAsia" w:ascii="仿宋" w:hAnsi="仿宋" w:eastAsia="仿宋" w:cs="仿宋"/>
                <w:color w:val="auto"/>
                <w:sz w:val="20"/>
                <w:szCs w:val="20"/>
                <w:highlight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2FFBD">
            <w:pPr>
              <w:widowControl/>
              <w:spacing w:line="360" w:lineRule="auto"/>
              <w:ind w:firstLine="400"/>
              <w:textAlignment w:val="center"/>
              <w:rPr>
                <w:rFonts w:hint="eastAsia" w:ascii="仿宋" w:hAnsi="仿宋" w:eastAsia="仿宋" w:cs="仿宋"/>
                <w:color w:val="auto"/>
                <w:sz w:val="20"/>
                <w:szCs w:val="20"/>
                <w:highlight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6123A">
            <w:pPr>
              <w:widowControl/>
              <w:spacing w:line="360" w:lineRule="auto"/>
              <w:ind w:firstLine="400"/>
              <w:textAlignment w:val="center"/>
              <w:rPr>
                <w:rFonts w:hint="eastAsia" w:ascii="仿宋" w:hAnsi="仿宋" w:eastAsia="仿宋" w:cs="仿宋"/>
                <w:color w:val="auto"/>
                <w:sz w:val="20"/>
                <w:szCs w:val="20"/>
                <w:highlight w:val="none"/>
              </w:rPr>
            </w:pP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8956C">
            <w:pPr>
              <w:widowControl/>
              <w:spacing w:line="360" w:lineRule="auto"/>
              <w:ind w:firstLine="400"/>
              <w:textAlignment w:val="center"/>
              <w:rPr>
                <w:rFonts w:hint="eastAsia" w:ascii="仿宋" w:hAnsi="仿宋" w:eastAsia="仿宋" w:cs="仿宋"/>
                <w:color w:val="auto"/>
                <w:sz w:val="20"/>
                <w:szCs w:val="20"/>
                <w:highlight w:val="none"/>
              </w:rPr>
            </w:pPr>
          </w:p>
        </w:tc>
      </w:tr>
      <w:tr w14:paraId="20854EE2">
        <w:tblPrEx>
          <w:tblCellMar>
            <w:top w:w="0" w:type="dxa"/>
            <w:left w:w="108" w:type="dxa"/>
            <w:bottom w:w="0" w:type="dxa"/>
            <w:right w:w="108" w:type="dxa"/>
          </w:tblCellMar>
        </w:tblPrEx>
        <w:trPr>
          <w:trHeight w:val="383" w:hRule="atLeast"/>
          <w:jc w:val="center"/>
        </w:trPr>
        <w:tc>
          <w:tcPr>
            <w:tcW w:w="29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7AE6D">
            <w:pPr>
              <w:widowControl/>
              <w:spacing w:line="360" w:lineRule="auto"/>
              <w:ind w:firstLine="402"/>
              <w:textAlignment w:val="center"/>
              <w:rPr>
                <w:rFonts w:hint="eastAsia" w:ascii="仿宋" w:hAnsi="仿宋" w:eastAsia="仿宋" w:cs="仿宋"/>
                <w:b/>
                <w:bCs/>
                <w:color w:val="auto"/>
                <w:sz w:val="20"/>
                <w:szCs w:val="20"/>
                <w:highlight w:val="none"/>
              </w:rPr>
            </w:pPr>
            <w:r>
              <w:rPr>
                <w:rFonts w:hint="eastAsia" w:ascii="仿宋" w:hAnsi="仿宋" w:eastAsia="仿宋" w:cs="仿宋"/>
                <w:b/>
                <w:color w:val="auto"/>
                <w:kern w:val="0"/>
                <w:sz w:val="20"/>
                <w:szCs w:val="20"/>
                <w:highlight w:val="none"/>
                <w:lang w:bidi="ar"/>
              </w:rPr>
              <w:t>总计</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7E8A">
            <w:pPr>
              <w:widowControl/>
              <w:spacing w:line="360" w:lineRule="auto"/>
              <w:ind w:firstLine="402"/>
              <w:textAlignment w:val="center"/>
              <w:rPr>
                <w:rFonts w:hint="eastAsia" w:ascii="仿宋" w:hAnsi="仿宋" w:eastAsia="仿宋" w:cs="仿宋"/>
                <w:b/>
                <w:bCs/>
                <w:color w:val="auto"/>
                <w:sz w:val="20"/>
                <w:szCs w:val="20"/>
                <w:highlight w:val="none"/>
              </w:rPr>
            </w:pPr>
          </w:p>
        </w:tc>
      </w:tr>
    </w:tbl>
    <w:p w14:paraId="498B64B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2、服务要求：详见本项目采购文件中的采购需求</w:t>
      </w:r>
    </w:p>
    <w:p w14:paraId="2009462B">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3、服务质量：合格（符合国家（行业）强制性标准及甲方要求）</w:t>
      </w:r>
    </w:p>
    <w:p w14:paraId="712E2ECF">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考核及验收：甲方单位根据有关服务规范规定，不定期对乙方的服务进行检查或考核，乙方须无条件的接受甲方的各类考核或检查；若审查不通过或质量不合格，乙方应在一定期限进行整改完善，以甲方要求的标准提供合格服务；若乙方在接受检查整改后，仍不能提供符合采购要求的合格服务，甲方有权按违约予以撤项。</w:t>
      </w:r>
    </w:p>
    <w:p w14:paraId="79EE5635">
      <w:pPr>
        <w:pStyle w:val="2"/>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5、履约保证金缴纳：合同签订后乙方在</w:t>
      </w:r>
      <w:r>
        <w:rPr>
          <w:rFonts w:hint="eastAsia" w:ascii="仿宋" w:hAnsi="仿宋" w:eastAsia="仿宋" w:cs="仿宋"/>
          <w:color w:val="auto"/>
          <w:kern w:val="2"/>
          <w:sz w:val="21"/>
          <w:szCs w:val="21"/>
          <w:highlight w:val="none"/>
          <w:u w:val="single"/>
          <w:lang w:val="en-US" w:eastAsia="zh-CN" w:bidi="ar-SA"/>
        </w:rPr>
        <w:t>7</w:t>
      </w:r>
      <w:r>
        <w:rPr>
          <w:rFonts w:hint="eastAsia" w:ascii="仿宋" w:hAnsi="仿宋" w:eastAsia="仿宋" w:cs="仿宋"/>
          <w:color w:val="auto"/>
          <w:kern w:val="2"/>
          <w:sz w:val="21"/>
          <w:szCs w:val="21"/>
          <w:highlight w:val="none"/>
          <w:lang w:val="en-US" w:eastAsia="zh-CN" w:bidi="ar-SA"/>
        </w:rPr>
        <w:t>个工作日内缴纳履约保证金，履约保证金金额为合同金额的3%，服务期结束验收合格后退还，扣除标准依据双方合同约定。</w:t>
      </w:r>
    </w:p>
    <w:p w14:paraId="59B6A473">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第四条  服务费用及支付方式</w:t>
      </w:r>
    </w:p>
    <w:p w14:paraId="25B6C2E7">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1、本项目服务费为人民币：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元）。    </w:t>
      </w:r>
    </w:p>
    <w:p w14:paraId="292BD5AE">
      <w:pPr>
        <w:pStyle w:val="9"/>
        <w:ind w:firstLine="40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2、服务费按下列比例支付价款：</w:t>
      </w:r>
    </w:p>
    <w:p w14:paraId="58430D91">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合同签订生效后，乙方开始服务，达到付款条件起15日内，支付合同总金额的20.00%。</w:t>
      </w:r>
    </w:p>
    <w:p w14:paraId="611EC143">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春季花卉展览服务（2026年4月1日）布展结束后，验收合格 ，达到付款条件起15日内，支付合同总金额的30.00%。</w:t>
      </w:r>
    </w:p>
    <w:p w14:paraId="2B2AE739">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夏季花卉展览服务（2026年5月15日）春季养护结束，夏季花展布展结束，验收合格，达到付款条件起15日内，支付合同总金额的30.00%。</w:t>
      </w:r>
    </w:p>
    <w:p w14:paraId="217D566F">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bookmarkStart w:id="0" w:name="_GoBack"/>
      <w:bookmarkEnd w:id="0"/>
      <w:r>
        <w:rPr>
          <w:rFonts w:hint="eastAsia" w:ascii="仿宋" w:hAnsi="仿宋" w:eastAsia="仿宋" w:cs="仿宋"/>
          <w:color w:val="auto"/>
          <w:szCs w:val="21"/>
          <w:highlight w:val="none"/>
        </w:rPr>
        <w:t>夏季花卉展览服务（2026年8</w:t>
      </w:r>
      <w:r>
        <w:rPr>
          <w:rFonts w:hint="eastAsia" w:ascii="仿宋_GB2312" w:hAnsi="仿宋_GB2312" w:eastAsia="仿宋_GB2312" w:cs="仿宋_GB2312"/>
          <w:highlight w:val="none"/>
        </w:rPr>
        <w:t>月30日）养护结束后，验收合格，达到付款条件起15日内，支付合同总金额的20.00%。</w:t>
      </w:r>
    </w:p>
    <w:p w14:paraId="288BB37F">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付款前，乙方应开具与付款金额一致的正式发票给甲方，甲方收到发票后以转账形式支付给乙方上月的全部服务费，否则，甲方有权拒绝付款且不承担任何违约责任，且乙方不得以此为由停止履行本合同项下的任意义务；</w:t>
      </w:r>
    </w:p>
    <w:p w14:paraId="6FE82B1F">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4、因甲方系行政单位，所有的付款均需财政部门审批，本合同履行期间，非因甲方故意拖延付款申请流程造成的逾期付款的，乙方对此予以谅解不得追究甲方的逾期付款责任。</w:t>
      </w:r>
    </w:p>
    <w:p w14:paraId="09644BB6">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第五条  知识产权</w:t>
      </w:r>
    </w:p>
    <w:p w14:paraId="197D207D">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乙方应保证所提供的服务或其任何一部分均不会侵犯任何第三方的专利权、商标权或著作权。</w:t>
      </w:r>
    </w:p>
    <w:p w14:paraId="74C7899A">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第六条  无产权瑕疵条款</w:t>
      </w:r>
    </w:p>
    <w:p w14:paraId="3FEAC27F">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乙方保证所提供的服务的所有权完全属于乙方且无任何抵押、查封等产权瑕疵。如有产权瑕疵的，视为乙方违约。乙方应负担由此而产生的一切损失。</w:t>
      </w:r>
    </w:p>
    <w:p w14:paraId="784480A9">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第七条  甲方的权利和义务</w:t>
      </w:r>
    </w:p>
    <w:p w14:paraId="6F73830F">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733A380">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2、甲方有权依据双方签订的考评办法对乙方提供的服务进行定期考评。当考评结果未达到标准时，有权依据考评办法约定的数额扣除履约保证金。</w:t>
      </w:r>
    </w:p>
    <w:p w14:paraId="7E76C36E">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3、负责检查监督乙方管理工作的实施及制度的执行情况。</w:t>
      </w:r>
    </w:p>
    <w:p w14:paraId="4BABB606">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4、根据本合同规定，按时向乙方支付应付服务费用。</w:t>
      </w:r>
    </w:p>
    <w:p w14:paraId="0C7755EA">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5、国家法律、法规所规定由甲方承担的其它责任。</w:t>
      </w:r>
    </w:p>
    <w:p w14:paraId="300FAAA5">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第八条  乙方的权利和义务</w:t>
      </w:r>
    </w:p>
    <w:p w14:paraId="0F82F777">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1、对本合同规定的委托服务范围内的项目享有管理权及服务义务。</w:t>
      </w:r>
    </w:p>
    <w:p w14:paraId="34C92266">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2、根据本合同的规定向甲方收取相关服务费用，并有权在本项目管理范围内管理及合理使用。</w:t>
      </w:r>
    </w:p>
    <w:p w14:paraId="39D0C71E">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3、及时向甲方通告本项目服务范围内有关服务的重大事项，及时配合处理投诉。</w:t>
      </w:r>
    </w:p>
    <w:p w14:paraId="3A822EDD">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4、接受项目行业管理部门及政府有关部门的指导，接受甲方的监督。</w:t>
      </w:r>
    </w:p>
    <w:p w14:paraId="3A89D760">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5、国家法律、法规所规定由乙方承担的其它责任。</w:t>
      </w:r>
    </w:p>
    <w:p w14:paraId="07FE3DF3">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第九条  服务保证</w:t>
      </w:r>
    </w:p>
    <w:p w14:paraId="49916CC0">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1、服务方案科学、可行，人员配置合理，全面满足要求。 </w:t>
      </w:r>
    </w:p>
    <w:p w14:paraId="1A899371">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2、符合国家有关服务规范要求，确保服务要求达到甲方要求。 </w:t>
      </w:r>
    </w:p>
    <w:p w14:paraId="5CB18D72">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第十条  保密</w:t>
      </w:r>
    </w:p>
    <w:p w14:paraId="3320B3B7">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1、乙方人员在甲方工作期间获得及接触的甲方的任何形式的保密信息，乙方人员 不得在本协议目的之外使用，也不得向任何第三方提供这些信息和接触这些信息的手段。 </w:t>
      </w:r>
    </w:p>
    <w:p w14:paraId="752CC6F8">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2、乙方应管理和教育好拟派人员遵守甲方的保密规定。如果乙方人员违反甲方的保密要求，给甲方造成损失，甲方有权利追究乙方的责任。 </w:t>
      </w:r>
    </w:p>
    <w:p w14:paraId="603AED5A">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第十一条  违约责任</w:t>
      </w:r>
    </w:p>
    <w:p w14:paraId="5651C921">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1、甲乙双方必须遵守本合同并执行合同中的各项规定，保证本合同的正常履行。</w:t>
      </w:r>
    </w:p>
    <w:p w14:paraId="5D100820">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2、乙方未于甲方指定时间将本合同约定花卉交付至甲方指定地点的，甲方有权拒绝向乙方支付合同款项。</w:t>
      </w:r>
    </w:p>
    <w:p w14:paraId="28D24C31">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提供的货物存在质量问题，应及时更换。乙方未按照甲方要求更换或更换仍不能满足甲方要求的，甲方有权拒绝支付合同款项并要求乙方承担因此给甲方造成的全部损失的（包括但不限于直接损失、间接损失及甲方因实现权利而产生的诉讼费、律师费、保全费等）。</w:t>
      </w:r>
    </w:p>
    <w:p w14:paraId="34EABB66">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4、甲、乙双方因不可抗力不能履行合同时，应当及时通知对方，并在合理期内提供有关证明，双方可协商全部或部分免除违约方的责任。</w:t>
      </w:r>
    </w:p>
    <w:p w14:paraId="56E9A496">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5、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D1E859F">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第十二条  不可抗力事件处理</w:t>
      </w:r>
    </w:p>
    <w:p w14:paraId="4319B719">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1、在合同有效期内，任何一方因不可抗力事件导致不能履行合同，则合同履行期可延长，其延长期与不可抗力影响期相同。</w:t>
      </w:r>
    </w:p>
    <w:p w14:paraId="63F2DE84">
      <w:pPr>
        <w:spacing w:line="360" w:lineRule="auto"/>
        <w:ind w:firstLine="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2、不可抗力事件发生后，应立即通知对方，并寄送有关权威机构出具的证明。</w:t>
      </w:r>
    </w:p>
    <w:p w14:paraId="409DED97">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3、不可抗力事件延续</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color w:val="000000" w:themeColor="text1"/>
          <w:szCs w:val="21"/>
          <w14:textFill>
            <w14:solidFill>
              <w14:schemeClr w14:val="tx1"/>
            </w14:solidFill>
          </w14:textFill>
        </w:rPr>
        <w:t xml:space="preserve">天以上，双方应通过友好协商，确定是否继续履行合同。 </w:t>
      </w:r>
    </w:p>
    <w:p w14:paraId="72B547BA">
      <w:pPr>
        <w:spacing w:line="360" w:lineRule="auto"/>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第十三条  合同的变更和终止</w:t>
      </w:r>
    </w:p>
    <w:p w14:paraId="5067ED19">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除《中华人民共和国政府采购法》第49条、第50条第二款规定的情形外，本合同一经签订，甲乙双方不得擅自变更、中止或终止合同。</w:t>
      </w:r>
    </w:p>
    <w:p w14:paraId="7500F247">
      <w:pPr>
        <w:spacing w:line="360" w:lineRule="auto"/>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第十四条  解决合同纠纷的方式</w:t>
      </w:r>
    </w:p>
    <w:p w14:paraId="42F3DAF6">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 1 种方式解决争议：</w:t>
      </w:r>
    </w:p>
    <w:p w14:paraId="1AB31B11">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（1）向甲方所在地有管辖权的人民法院提起诉讼；</w:t>
      </w:r>
    </w:p>
    <w:p w14:paraId="316494B7">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（2）向西安仲裁委员会按其仲裁规则申请仲裁。</w:t>
      </w:r>
    </w:p>
    <w:p w14:paraId="04FDD839">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2、在仲裁期间，除双方有争议的部分外，本合同其他部分仍然有效，各方应继续履行。</w:t>
      </w:r>
    </w:p>
    <w:p w14:paraId="11BEF62F">
      <w:pPr>
        <w:spacing w:line="360" w:lineRule="auto"/>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第十五条  合同生效及其他</w:t>
      </w:r>
    </w:p>
    <w:p w14:paraId="571BD84A">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1、合同经双方法定代表人或授权委托代理人签字并加盖单位公章后生效。</w:t>
      </w:r>
    </w:p>
    <w:p w14:paraId="04A13781">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2、合同执行中涉及采购资金和采购内容修改或补充的，须经政府采购监管部门审批，并签书面补充协议报政府采购监督管理部门备案，方可作为主合同不可分割的一部分。</w:t>
      </w:r>
    </w:p>
    <w:p w14:paraId="016C056A">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3、本合同一式</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color w:val="000000" w:themeColor="text1"/>
          <w:szCs w:val="21"/>
          <w14:textFill>
            <w14:solidFill>
              <w14:schemeClr w14:val="tx1"/>
            </w14:solidFill>
          </w14:textFill>
        </w:rPr>
        <w:t>份，自双方签章之日起起效。甲方</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color w:val="000000" w:themeColor="text1"/>
          <w:szCs w:val="21"/>
          <w14:textFill>
            <w14:solidFill>
              <w14:schemeClr w14:val="tx1"/>
            </w14:solidFill>
          </w14:textFill>
        </w:rPr>
        <w:t>份，乙方</w:t>
      </w:r>
      <w:r>
        <w:rPr>
          <w:rFonts w:hint="eastAsia" w:ascii="仿宋" w:hAnsi="仿宋" w:eastAsia="仿宋" w:cs="仿宋"/>
          <w:color w:val="000000" w:themeColor="text1"/>
          <w:szCs w:val="21"/>
          <w:u w:val="single"/>
          <w14:textFill>
            <w14:solidFill>
              <w14:schemeClr w14:val="tx1"/>
            </w14:solidFill>
          </w14:textFill>
        </w:rPr>
        <w:t xml:space="preserve">   </w:t>
      </w:r>
      <w:r>
        <w:rPr>
          <w:rFonts w:hint="eastAsia" w:ascii="仿宋" w:hAnsi="仿宋" w:eastAsia="仿宋" w:cs="仿宋"/>
          <w:color w:val="000000" w:themeColor="text1"/>
          <w:szCs w:val="21"/>
          <w14:textFill>
            <w14:solidFill>
              <w14:schemeClr w14:val="tx1"/>
            </w14:solidFill>
          </w14:textFill>
        </w:rPr>
        <w:t>份，政府采购代理机构壹份，同级财政部门备案壹份，具有同等法律效力。</w:t>
      </w:r>
    </w:p>
    <w:p w14:paraId="268AA815">
      <w:pPr>
        <w:spacing w:line="360" w:lineRule="auto"/>
        <w:ind w:firstLine="422"/>
        <w:jc w:val="center"/>
        <w:rPr>
          <w:rFonts w:hint="eastAsia" w:ascii="仿宋" w:hAnsi="仿宋" w:eastAsia="仿宋" w:cs="仿宋"/>
          <w:b/>
          <w:color w:val="000000" w:themeColor="text1"/>
          <w:szCs w:val="21"/>
          <w14:textFill>
            <w14:solidFill>
              <w14:schemeClr w14:val="tx1"/>
            </w14:solidFill>
          </w14:textFill>
        </w:rPr>
      </w:pPr>
    </w:p>
    <w:p w14:paraId="6FDFF028">
      <w:pPr>
        <w:spacing w:line="360" w:lineRule="auto"/>
        <w:ind w:firstLine="422"/>
        <w:rPr>
          <w:rFonts w:hint="eastAsia" w:ascii="仿宋" w:hAnsi="仿宋" w:eastAsia="仿宋" w:cs="仿宋"/>
          <w:color w:val="000000" w:themeColor="text1"/>
          <w:szCs w:val="21"/>
          <w14:textFill>
            <w14:solidFill>
              <w14:schemeClr w14:val="tx1"/>
            </w14:solidFill>
          </w14:textFill>
        </w:rPr>
      </w:pPr>
    </w:p>
    <w:p w14:paraId="0CE28767">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甲方（盖章）：                             乙方（盖章）：                   </w:t>
      </w:r>
    </w:p>
    <w:p w14:paraId="726FAF93">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法定代表人（签章）：                       法定代表人（签章）：            </w:t>
      </w:r>
    </w:p>
    <w:p w14:paraId="4D8BA202">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授权代理人（签章）：                       授权代理人（签章）：          </w:t>
      </w:r>
    </w:p>
    <w:p w14:paraId="2F09E102">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地址：                                    地址：                        </w:t>
      </w:r>
    </w:p>
    <w:p w14:paraId="01767DEC">
      <w:pPr>
        <w:spacing w:line="360" w:lineRule="auto"/>
        <w:ind w:firstLine="422"/>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 xml:space="preserve">电话：                                    电话：      </w:t>
      </w:r>
    </w:p>
    <w:p w14:paraId="267B3610">
      <w:pPr>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签约时间：                                签约时间：</w:t>
      </w:r>
    </w:p>
    <w:p w14:paraId="056ABCF1">
      <w:pPr>
        <w:rPr>
          <w:rFonts w:hint="eastAsia" w:ascii="仿宋" w:hAnsi="仿宋" w:eastAsia="仿宋" w:cs="仿宋"/>
          <w:color w:val="000000" w:themeColor="text1"/>
          <w14:textFill>
            <w14:solidFill>
              <w14:schemeClr w14:val="tx1"/>
            </w14:solidFill>
          </w14:textFill>
        </w:rPr>
      </w:pPr>
    </w:p>
    <w:p w14:paraId="2B910FD1">
      <w:pPr>
        <w:pStyle w:val="4"/>
        <w:rPr>
          <w:rFonts w:hint="eastAsia"/>
        </w:rPr>
      </w:pPr>
    </w:p>
    <w:p w14:paraId="25180BB6">
      <w:pPr>
        <w:spacing w:line="560" w:lineRule="exact"/>
        <w:ind w:firstLine="472"/>
        <w:jc w:val="left"/>
        <w:rPr>
          <w:rFonts w:ascii="仿宋" w:hAnsi="仿宋" w:eastAsia="仿宋" w:cs="仿宋"/>
          <w:b/>
          <w:bCs/>
          <w:kern w:val="1"/>
          <w:sz w:val="28"/>
          <w:szCs w:val="28"/>
          <w:highlight w:val="none"/>
        </w:rPr>
      </w:pPr>
      <w:r>
        <w:rPr>
          <w:rFonts w:hint="eastAsia" w:ascii="仿宋" w:hAnsi="仿宋" w:eastAsia="仿宋" w:cs="仿宋"/>
          <w:b/>
          <w:bCs/>
          <w:kern w:val="1"/>
          <w:sz w:val="28"/>
          <w:szCs w:val="28"/>
          <w:highlight w:val="none"/>
        </w:rPr>
        <w:t>*最终合同模版以甲方所提供的合同稿件为准</w:t>
      </w:r>
    </w:p>
    <w:p w14:paraId="3868826C">
      <w:pPr>
        <w:pStyle w:val="4"/>
        <w:rPr>
          <w:rFonts w:hint="eastAsia"/>
        </w:rPr>
      </w:pPr>
    </w:p>
    <w:sectPr>
      <w:pgSz w:w="11906" w:h="16838"/>
      <w:pgMar w:top="1213" w:right="1639" w:bottom="1157" w:left="169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AC0"/>
    <w:rsid w:val="00005402"/>
    <w:rsid w:val="002842C9"/>
    <w:rsid w:val="004B48E1"/>
    <w:rsid w:val="004F4AC0"/>
    <w:rsid w:val="0074031A"/>
    <w:rsid w:val="15BC2E68"/>
    <w:rsid w:val="1F916D20"/>
    <w:rsid w:val="32FE17B8"/>
    <w:rsid w:val="42C012B4"/>
    <w:rsid w:val="43AE1D1E"/>
    <w:rsid w:val="4ABF400E"/>
    <w:rsid w:val="62711E95"/>
    <w:rsid w:val="64BE3D7E"/>
    <w:rsid w:val="66CA0DC7"/>
    <w:rsid w:val="6AC30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line="640" w:lineRule="exact"/>
      <w:ind w:firstLine="645"/>
    </w:pPr>
    <w:rPr>
      <w:rFonts w:ascii="楷体_GB2312" w:eastAsia="楷体_GB2312"/>
      <w:sz w:val="32"/>
      <w:szCs w:val="32"/>
    </w:rPr>
  </w:style>
  <w:style w:type="paragraph" w:styleId="3">
    <w:name w:val="Body Text"/>
    <w:basedOn w:val="1"/>
    <w:link w:val="7"/>
    <w:semiHidden/>
    <w:unhideWhenUsed/>
    <w:qFormat/>
    <w:uiPriority w:val="99"/>
    <w:pPr>
      <w:spacing w:after="120"/>
    </w:pPr>
  </w:style>
  <w:style w:type="paragraph" w:styleId="4">
    <w:name w:val="Body Text First Indent"/>
    <w:basedOn w:val="3"/>
    <w:link w:val="8"/>
    <w:qFormat/>
    <w:uiPriority w:val="0"/>
    <w:pPr>
      <w:ind w:firstLine="420" w:firstLineChars="100"/>
    </w:pPr>
  </w:style>
  <w:style w:type="character" w:customStyle="1" w:styleId="7">
    <w:name w:val="正文文本 Char"/>
    <w:basedOn w:val="6"/>
    <w:link w:val="3"/>
    <w:semiHidden/>
    <w:qFormat/>
    <w:uiPriority w:val="99"/>
    <w:rPr>
      <w:rFonts w:ascii="Times New Roman" w:hAnsi="Times New Roman" w:eastAsia="宋体" w:cs="Times New Roman"/>
      <w:szCs w:val="24"/>
    </w:rPr>
  </w:style>
  <w:style w:type="character" w:customStyle="1" w:styleId="8">
    <w:name w:val="正文首行缩进 Char"/>
    <w:basedOn w:val="7"/>
    <w:link w:val="4"/>
    <w:qFormat/>
    <w:uiPriority w:val="0"/>
    <w:rPr>
      <w:rFonts w:ascii="Times New Roman" w:hAnsi="Times New Roman" w:eastAsia="宋体" w:cs="Times New Roman"/>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4</Pages>
  <Words>2860</Words>
  <Characters>2889</Characters>
  <Lines>22</Lines>
  <Paragraphs>6</Paragraphs>
  <TotalTime>0</TotalTime>
  <ScaleCrop>false</ScaleCrop>
  <LinksUpToDate>false</LinksUpToDate>
  <CharactersWithSpaces>3227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2024-03-26T02:49:00Z</dcterms:created>
  <dc:creator>Administrator</dc:creator>
  <cp:lastModifiedBy>A-Sa</cp:lastModifiedBy>
  <dcterms:modified xsi:type="dcterms:W3CDTF">2026-02-28T08:13:59Z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eyJoZGlkIjoiZDE3MzcyNjE2YWUxNWIyNjNiOTAyZWFhNTQwMDIzZmMiLCJ1c2VySWQiOiI5Mzc5NjEzNTAifQ==</vt:lpwstr>
  </property>
  <property fmtid="{D5CDD505-2E9C-101B-9397-08002B2CF9AE}" pid="3" name="KSOProductBuildVer">
    <vt:lpwstr>2052-12.1.0.24657</vt:lpwstr>
  </property>
  <property fmtid="{D5CDD505-2E9C-101B-9397-08002B2CF9AE}" pid="4" name="ICV">
    <vt:lpwstr>9D5B65EA95F244AAB934D4D251004C90_13</vt:lpwstr>
  </property>
</Properties>
</file>