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版本号：SDZC2026-02120260203001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陕西省2026年动物强制免疫疫苗采购项目（一）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SDZC2026-021</w:t>
      </w:r>
      <w:r>
        <w:br/>
      </w:r>
      <w:r>
        <w:br/>
      </w:r>
      <w:r>
        <w:br/>
      </w:r>
    </w:p>
    <w:p>
      <w:pPr>
        <w:pStyle w:val="null3"/>
        <w:jc w:val="center"/>
        <w:outlineLvl w:val="2"/>
      </w:pPr>
      <w:r>
        <w:rPr>
          <w:rFonts w:ascii="仿宋_GB2312" w:hAnsi="仿宋_GB2312" w:cs="仿宋_GB2312" w:eastAsia="仿宋_GB2312"/>
          <w:sz w:val="28"/>
          <w:b/>
        </w:rPr>
        <w:t>陕西省动物卫生与屠宰管理站</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陕西省动物卫生与屠宰管理站</w:t>
      </w:r>
      <w:r>
        <w:rPr>
          <w:rFonts w:ascii="仿宋_GB2312" w:hAnsi="仿宋_GB2312" w:cs="仿宋_GB2312" w:eastAsia="仿宋_GB2312"/>
        </w:rPr>
        <w:t>委托，拟对</w:t>
      </w:r>
      <w:r>
        <w:rPr>
          <w:rFonts w:ascii="仿宋_GB2312" w:hAnsi="仿宋_GB2312" w:cs="仿宋_GB2312" w:eastAsia="仿宋_GB2312"/>
        </w:rPr>
        <w:t>陕西省2026年动物强制免疫疫苗采购项目（一）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陕西省2026年动物强制免疫疫苗采购项目（一）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招标，确定陕西省2026年动物强制免疫疫苗采购供应商及价格，各设区市及杨陵区春秋两季集中免疫时在中标企业中购进疫苗，以实际采购数量按中标价格实施疫苗购进结算。陕西省动物卫生与屠宰管理站按中标价格在50万元疫苗经费预算中采购疫苗作为应急储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采购包10（猪高致病性蓝耳病活疫苗（西安、宝鸡、汉中、安康、商洛））：属于专门面向中小企业采购。</w:t>
      </w:r>
    </w:p>
    <w:p>
      <w:pPr>
        <w:pStyle w:val="null3"/>
      </w:pPr>
      <w:r>
        <w:rPr>
          <w:rFonts w:ascii="仿宋_GB2312" w:hAnsi="仿宋_GB2312" w:cs="仿宋_GB2312" w:eastAsia="仿宋_GB2312"/>
        </w:rPr>
        <w:t>采购包11（猪高致病性蓝耳病活疫苗（榆林、延安、咸阳、渭南））：属于专门面向中小企业采购。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陕西省动物卫生与屠宰管理站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陕西省动物卫生与屠宰管理站经办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86289356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029-89293231转803、808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采购包1：0.25元</w:t>
            </w:r>
          </w:p>
          <w:p>
            <w:pPr>
              <w:pStyle w:val="null3"/>
            </w:pPr>
            <w:r>
              <w:rPr>
                <w:rFonts w:ascii="仿宋_GB2312" w:hAnsi="仿宋_GB2312" w:cs="仿宋_GB2312" w:eastAsia="仿宋_GB2312"/>
              </w:rPr>
              <w:t>采购包2：0.25元</w:t>
            </w:r>
          </w:p>
          <w:p>
            <w:pPr>
              <w:pStyle w:val="null3"/>
            </w:pPr>
            <w:r>
              <w:rPr>
                <w:rFonts w:ascii="仿宋_GB2312" w:hAnsi="仿宋_GB2312" w:cs="仿宋_GB2312" w:eastAsia="仿宋_GB2312"/>
              </w:rPr>
              <w:t>采购包3：0.25元</w:t>
            </w:r>
          </w:p>
          <w:p>
            <w:pPr>
              <w:pStyle w:val="null3"/>
            </w:pPr>
            <w:r>
              <w:rPr>
                <w:rFonts w:ascii="仿宋_GB2312" w:hAnsi="仿宋_GB2312" w:cs="仿宋_GB2312" w:eastAsia="仿宋_GB2312"/>
              </w:rPr>
              <w:t>采购包4：0.25元</w:t>
            </w:r>
          </w:p>
          <w:p>
            <w:pPr>
              <w:pStyle w:val="null3"/>
            </w:pPr>
            <w:r>
              <w:rPr>
                <w:rFonts w:ascii="仿宋_GB2312" w:hAnsi="仿宋_GB2312" w:cs="仿宋_GB2312" w:eastAsia="仿宋_GB2312"/>
              </w:rPr>
              <w:t>采购包5：0.25元</w:t>
            </w:r>
          </w:p>
          <w:p>
            <w:pPr>
              <w:pStyle w:val="null3"/>
            </w:pPr>
            <w:r>
              <w:rPr>
                <w:rFonts w:ascii="仿宋_GB2312" w:hAnsi="仿宋_GB2312" w:cs="仿宋_GB2312" w:eastAsia="仿宋_GB2312"/>
              </w:rPr>
              <w:t>采购包6：0.25元</w:t>
            </w:r>
          </w:p>
          <w:p>
            <w:pPr>
              <w:pStyle w:val="null3"/>
            </w:pPr>
            <w:r>
              <w:rPr>
                <w:rFonts w:ascii="仿宋_GB2312" w:hAnsi="仿宋_GB2312" w:cs="仿宋_GB2312" w:eastAsia="仿宋_GB2312"/>
              </w:rPr>
              <w:t>采购包7：0.25元</w:t>
            </w:r>
          </w:p>
          <w:p>
            <w:pPr>
              <w:pStyle w:val="null3"/>
            </w:pPr>
            <w:r>
              <w:rPr>
                <w:rFonts w:ascii="仿宋_GB2312" w:hAnsi="仿宋_GB2312" w:cs="仿宋_GB2312" w:eastAsia="仿宋_GB2312"/>
              </w:rPr>
              <w:t>采购包8：1.00元</w:t>
            </w:r>
          </w:p>
          <w:p>
            <w:pPr>
              <w:pStyle w:val="null3"/>
            </w:pPr>
            <w:r>
              <w:rPr>
                <w:rFonts w:ascii="仿宋_GB2312" w:hAnsi="仿宋_GB2312" w:cs="仿宋_GB2312" w:eastAsia="仿宋_GB2312"/>
              </w:rPr>
              <w:t>采购包9：1.00元</w:t>
            </w:r>
          </w:p>
          <w:p>
            <w:pPr>
              <w:pStyle w:val="null3"/>
            </w:pPr>
            <w:r>
              <w:rPr>
                <w:rFonts w:ascii="仿宋_GB2312" w:hAnsi="仿宋_GB2312" w:cs="仿宋_GB2312" w:eastAsia="仿宋_GB2312"/>
              </w:rPr>
              <w:t>采购包10：0.45元</w:t>
            </w:r>
          </w:p>
          <w:p>
            <w:pPr>
              <w:pStyle w:val="null3"/>
            </w:pPr>
            <w:r>
              <w:rPr>
                <w:rFonts w:ascii="仿宋_GB2312" w:hAnsi="仿宋_GB2312" w:cs="仿宋_GB2312" w:eastAsia="仿宋_GB2312"/>
              </w:rPr>
              <w:t>采购包11：0.45元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向陕西上德招标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采取预收，待采购周期结束后，按照采购合同进行结算多退少补，预收取代理服务费为第1-6包9000元；第7包4500元；第8包54000元；第9包6000元；第10包9000元；第11包7000元，在领取中标通知书前缴纳。 2.招标代理服务费应采用转账、刷卡、现金形式缴纳，不得用投标保证金冲抵。 3.中标人如未按上述第1条规定办理，采购代理机构将没收其投标保证金。提供投标担保的投标人将由专业担保机构先行偿付采购代理机构损失。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陕西省动物卫生与屠宰管理站</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陕西省动物卫生与屠宰管理站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陕西省动物卫生与屠宰管理站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联系人：曹幸（3号工位）、郅龙（8号工位）</w:t>
      </w:r>
    </w:p>
    <w:p>
      <w:pPr>
        <w:pStyle w:val="null3"/>
      </w:pPr>
      <w:r>
        <w:rPr>
          <w:rFonts w:ascii="仿宋_GB2312" w:hAnsi="仿宋_GB2312" w:cs="仿宋_GB2312" w:eastAsia="仿宋_GB2312"/>
        </w:rPr>
        <w:t>联系电话：029-86673953、029-86518381、029-89299829、029-89293231转803、808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招标，确定陕西省2026年动物强制免疫疫苗采购供应商及价格，各设区市及杨陵区春秋两季集中免疫时在中标企业中购进疫苗，以实际采购数量按中标价格实施疫苗购进结算。陕西省动物卫生与屠宰管理站按中标价格在50万元疫苗经费预算中采购疫苗作为应急储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0.25</w:t>
      </w:r>
    </w:p>
    <w:p>
      <w:pPr>
        <w:pStyle w:val="null3"/>
      </w:pPr>
      <w:r>
        <w:rPr>
          <w:rFonts w:ascii="仿宋_GB2312" w:hAnsi="仿宋_GB2312" w:cs="仿宋_GB2312" w:eastAsia="仿宋_GB2312"/>
        </w:rPr>
        <w:t>采购包最高限价（元）: 0.25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重组禽流感病毒H5+H7四价灭活疫苗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1.00</w:t>
      </w:r>
    </w:p>
    <w:p>
      <w:pPr>
        <w:pStyle w:val="null3"/>
      </w:pPr>
      <w:r>
        <w:rPr>
          <w:rFonts w:ascii="仿宋_GB2312" w:hAnsi="仿宋_GB2312" w:cs="仿宋_GB2312" w:eastAsia="仿宋_GB2312"/>
        </w:rPr>
        <w:t>采购包最高限价（元）: 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猪口蹄疫O型合成肽苗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1.00</w:t>
      </w:r>
    </w:p>
    <w:p>
      <w:pPr>
        <w:pStyle w:val="null3"/>
      </w:pPr>
      <w:r>
        <w:rPr>
          <w:rFonts w:ascii="仿宋_GB2312" w:hAnsi="仿宋_GB2312" w:cs="仿宋_GB2312" w:eastAsia="仿宋_GB2312"/>
        </w:rPr>
        <w:t>采购包最高限价（元）: 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猪口蹄疫O型合成肽苗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0.45</w:t>
      </w:r>
    </w:p>
    <w:p>
      <w:pPr>
        <w:pStyle w:val="null3"/>
      </w:pPr>
      <w:r>
        <w:rPr>
          <w:rFonts w:ascii="仿宋_GB2312" w:hAnsi="仿宋_GB2312" w:cs="仿宋_GB2312" w:eastAsia="仿宋_GB2312"/>
        </w:rPr>
        <w:t>采购包最高限价（元）: 0.45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猪高致病性蓝耳病活疫苗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0.45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0.45</w:t>
      </w:r>
    </w:p>
    <w:p>
      <w:pPr>
        <w:pStyle w:val="null3"/>
      </w:pPr>
      <w:r>
        <w:rPr>
          <w:rFonts w:ascii="仿宋_GB2312" w:hAnsi="仿宋_GB2312" w:cs="仿宋_GB2312" w:eastAsia="仿宋_GB2312"/>
        </w:rPr>
        <w:t>采购包最高限价（元）: 0.45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猪高致病性蓝耳病活疫苗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0.45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Borders>
                <w:top w:val="none" w:color="000000" w:sz="4"/>
                <w:left w:val="none" w:color="000000" w:sz="4"/>
                <w:bottom w:val="none" w:color="000000" w:sz="4"/>
                <w:right w:val="none" w:color="000000" w:sz="4"/>
                <w:insideH w:val="none"/>
                <w:insideV w:val="none"/>
              </w:tblBorders>
            </w:tblPr>
            <w:tblGrid>
              <w:gridCol w:w="309"/>
              <w:gridCol w:w="1276"/>
              <w:gridCol w:w="960"/>
            </w:tblGrid>
            <w:tr>
              <w:tc>
                <w:tcPr>
                  <w:tcW w:type="dxa" w:w="30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渭南</w:t>
                  </w:r>
                </w:p>
              </w:tc>
            </w:tr>
          </w:tbl>
          <w:p>
            <w:pPr>
              <w:pStyle w:val="null3"/>
              <w:jc w:val="center"/>
            </w:pPr>
            <w:r>
              <w:rPr>
                <w:rFonts w:ascii="仿宋_GB2312" w:hAnsi="仿宋_GB2312" w:cs="仿宋_GB2312" w:eastAsia="仿宋_GB2312"/>
                <w:sz w:val="24"/>
                <w:b/>
              </w:rPr>
              <w:t>采购项目技术参数及要求：</w:t>
            </w:r>
          </w:p>
          <w:tbl>
            <w:tblPr>
              <w:tblBorders>
                <w:top w:val="none" w:color="000000" w:sz="4"/>
                <w:left w:val="none" w:color="000000" w:sz="4"/>
                <w:bottom w:val="none" w:color="000000" w:sz="4"/>
                <w:right w:val="none" w:color="000000" w:sz="4"/>
                <w:insideH w:val="none"/>
                <w:insideV w:val="none"/>
              </w:tblBorders>
            </w:tblPr>
            <w:tblGrid>
              <w:gridCol w:w="785"/>
              <w:gridCol w:w="1429"/>
              <w:gridCol w:w="331"/>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7"/>
              <w:gridCol w:w="1276"/>
              <w:gridCol w:w="957"/>
            </w:tblGrid>
            <w:tr>
              <w:tc>
                <w:tcPr>
                  <w:tcW w:type="dxa" w:w="3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咸阳、铜川</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30"/>
              <w:gridCol w:w="330"/>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汉中、安康</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30"/>
              <w:gridCol w:w="330"/>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7"/>
              <w:gridCol w:w="1276"/>
              <w:gridCol w:w="957"/>
            </w:tblGrid>
            <w:tr>
              <w:tc>
                <w:tcPr>
                  <w:tcW w:type="dxa" w:w="3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榆林、延安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32"/>
              <w:gridCol w:w="330"/>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3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3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6"/>
              <w:gridCol w:w="1279"/>
              <w:gridCol w:w="961"/>
            </w:tblGrid>
            <w:tr>
              <w:tc>
                <w:tcPr>
                  <w:tcW w:type="dxa" w:w="30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6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宝鸡</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30"/>
              <w:gridCol w:w="330"/>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商洛</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28"/>
              <w:gridCol w:w="327"/>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标的名称：重组禽流感病毒H5+H7四价灭活疫苗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276"/>
              <w:gridCol w:w="960"/>
            </w:tblGrid>
            <w:tr>
              <w:tc>
                <w:tcPr>
                  <w:tcW w:type="dxa" w:w="3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重组禽流感病毒 H5+H7四价灭活疫苗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西安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9"/>
              <w:gridCol w:w="1427"/>
              <w:gridCol w:w="330"/>
            </w:tblGrid>
            <w:tr>
              <w:tc>
                <w:tcPr>
                  <w:tcW w:type="dxa" w:w="78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重组禽流感病毒 H5+H7四价灭活疫苗</w:t>
                  </w:r>
                </w:p>
              </w:tc>
              <w:tc>
                <w:tcPr>
                  <w:tcW w:type="dxa" w:w="14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具有农业农村部疫苗生产批准文号，疫苗含灭活重组禽流感病毒（H5+H7）</w:t>
                  </w:r>
                  <w:r>
                    <w:rPr>
                      <w:rFonts w:ascii="仿宋_GB2312" w:hAnsi="仿宋_GB2312" w:cs="仿宋_GB2312" w:eastAsia="仿宋_GB2312"/>
                      <w:sz w:val="24"/>
                    </w:rPr>
                    <w:t>四</w:t>
                  </w:r>
                  <w:r>
                    <w:rPr>
                      <w:rFonts w:ascii="仿宋_GB2312" w:hAnsi="仿宋_GB2312" w:cs="仿宋_GB2312" w:eastAsia="仿宋_GB2312"/>
                      <w:sz w:val="24"/>
                    </w:rPr>
                    <w:t>价毒株，采用国际优质注射用白油佐剂生产，稳定性、无菌检验、安全检验、效力检验符合国家标准。规格 100ml/瓶或250mL/瓶。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标的名称：猪口蹄疫O型合成肽苗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279"/>
              <w:gridCol w:w="958"/>
            </w:tblGrid>
            <w:tr>
              <w:tc>
                <w:tcPr>
                  <w:tcW w:type="dxa" w:w="30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8</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xml:space="preserve"> 猪口蹄疫O型合成肽苗</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宝鸡、咸阳、渭南、汉中、安康、商洛、榆林</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1427"/>
              <w:gridCol w:w="331"/>
            </w:tblGrid>
            <w:tr>
              <w:tc>
                <w:tcPr>
                  <w:tcW w:type="dxa" w:w="7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猪口蹄疫O型合成肽苗</w:t>
                  </w:r>
                </w:p>
              </w:tc>
              <w:tc>
                <w:tcPr>
                  <w:tcW w:type="dxa" w:w="14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具有农业农村部疫苗生产批准文号，疫苗至少含有2个毒株。采用国际优质 50V 佐剂生产，成品苗安全检验、效力检验等检验项目全部符合国家标准。规格50ml/瓶或 100ml/瓶。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标的名称：猪口蹄疫O型合成肽苗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9</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xml:space="preserve"> 猪口蹄疫O型合成肽苗</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西安、铜川、延安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29"/>
              <w:gridCol w:w="327"/>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猪口蹄疫O型合成肽苗</w:t>
                  </w:r>
                </w:p>
              </w:tc>
              <w:tc>
                <w:tcPr>
                  <w:tcW w:type="dxa" w:w="142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具有农业农村部疫苗生产批准文号，疫苗至少含有2个毒株。采用国际优质 50V 佐剂生产，成品苗安全检验、效力检验等检验项目全部符合国家标准。规格50ml/瓶或 100ml/瓶。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标的名称：猪高致病性蓝耳病活疫苗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276"/>
              <w:gridCol w:w="960"/>
            </w:tblGrid>
            <w:tr>
              <w:tc>
                <w:tcPr>
                  <w:tcW w:type="dxa" w:w="3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xml:space="preserve"> 猪高致病性蓝耳病活疫苗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西安、宝鸡、汉中、安康、商洛</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28"/>
              <w:gridCol w:w="327"/>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猪高致病性蓝耳病活疫苗</w:t>
                  </w:r>
                </w:p>
              </w:tc>
              <w:tc>
                <w:tcPr>
                  <w:tcW w:type="dxa" w:w="1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具有农业农村部疫苗生产批准文号，疫苗稳定性、无菌检验、安全检验、效力检验符合国家标准。规格：10、20、50头份/瓶。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标的名称：猪高致病性蓝耳病活疫苗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1210"/>
              <w:gridCol w:w="1025"/>
            </w:tblGrid>
            <w:tr>
              <w:tc>
                <w:tcPr>
                  <w:tcW w:type="dxa" w:w="3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1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10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11</w:t>
                  </w:r>
                </w:p>
              </w:tc>
              <w:tc>
                <w:tcPr>
                  <w:tcW w:type="dxa" w:w="12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xml:space="preserve"> 猪高致病性蓝耳病活疫苗</w:t>
                  </w:r>
                </w:p>
              </w:tc>
              <w:tc>
                <w:tcPr>
                  <w:tcW w:type="dxa" w:w="1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榆林、延安、咸阳、渭南</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1427"/>
              <w:gridCol w:w="331"/>
            </w:tblGrid>
            <w:tr>
              <w:tc>
                <w:tcPr>
                  <w:tcW w:type="dxa" w:w="7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猪高致病性蓝耳病活疫苗</w:t>
                  </w:r>
                </w:p>
              </w:tc>
              <w:tc>
                <w:tcPr>
                  <w:tcW w:type="dxa" w:w="14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具有农业农村部疫苗生产批准文号，疫苗稳定性、无菌检验、安全检验、效力检验符合国家标准。规格：10、20、50头份/瓶。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本次采购合同包所涉及的地点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（一）投标担保 1.担保方式：(任选其一) 1.1投标保证金：人民币壹万元整/每包。（如参与本项目多个包，投标保证金需按各包金额，分别转账） 1.2担保函（政府采购信用担保机构出具的担保函）。 2.投标担保递交截止时间：投标截止时间前，若采购代理机构未在投标担保递交截止时间收到足额投标保证金或者有效担保函的，其投标将被拒绝。 3.投标担保应当按照法定形式提交。以电汇、转账等形式交纳保证金的投标人，投标保证金仅限于通过基本账户形式交纳，招标结束后以转账形式退至投标人基本账户内。投标保证金交纳凭证以银行凭证及基本账户证明资料为准。 4.财务部联系方式：029-86673953、029-86518381、029-89299829、029-89293231 转814、813 备注：投标人在汇款时须注明项目编号+项目简称。 5.开户名称：陕西上德招标有限公司；开户银行：西安银行股份有限公司文景路支行； 银行账号：707011510000013522。 （二）其他事项 1.中标人在领取中标通知书时提供一正两副纸质投标文件。装订：纸质投标文件采用书籍（胶装）方式装订成册，与电子投标文件一致的签字、盖章的完整版本。（可接收顺丰快递邮寄）。 2.按包号顺序评审，若同一单位同时参与相同疫苗的多个包，且在其中一包被推荐为第一中标候选人，则该单位在后续相同疫苗包评审中只参与打分，不再推荐为第一中标候选人，并顺延下一名为第一中标候选人；若投标人数量少于包数时，则按此规定循环，可累计中标。 3.投标报价应以人民币报价，报价为单价：“元/毫升”或“元/头份”。投标报价小数点后保留两位。 4.本项目采购标的对应的中小企业划分标准所属行业为（工业）。 5.特别声明：投标人相互串通投标、恶意抬高价格的，取消其二年内投标资格。对投标人提供的省内外动物防疫机构出具的有关售后服务、批签发材料、副反应状况和业绩等证明材料，采购人有权进行事后抽样核实，凡发现弄虚作假的中止合同并三年内取消其在陕西参加本项目招标采购的投标资格。 6.若2026年国家强制免疫政策及强制免疫疫苗品种有其他调整的，中标人按规定具备供应该被调整品种疫苗能力的，继续按计划合同供应；如不能按规定供货的，按中标排序，由其他能按规定供应该被调整品种疫苗的中标人供货。 7.省级应急储备疫苗（包括个别地市使用量很少的个别疫苗），由省动物卫生与屠宰管理站与该品种疫苗中标人联系，直接送至省动物卫生与屠宰管理站库房储存。杨陵区因每一品种疫苗数量均较少，中标人可将疫苗直接送达，也可将疫苗送达省库，由杨陵区自行去省库领取，疫苗费用由杨陵区与各中标人直接进行结算。 8.取得本次疫苗供应资格的中标人，具备供应陕西省非强制免疫常规疫苗的资格。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5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疫苗批签发报告的抗体平均滴度（GMT）算术平均值为评分依据， ≥1:128.00的得4分； ≥1:256.00的得6分； ≥1:512.00的得8分。 抗体平均滴度（GMT）离散度：离散度在±150以内得3分,在±200以内得1分。有一个及以上批次离散度在±250以外的不得分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佐剂：提供使用国际优质注射用白油佐剂证明材料（2025年以来的有效进货合同）的得3分，未提供不得分。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根据投标人的产品性能、生产工艺和生产设备情况赋分。投标人的产品性能优势强，生产工艺先进、生产能力保障全面得6分。生产能力保障有缺陷扣2分，生产工艺不成熟扣3分，产品性能优势不强扣4分。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疫苗企业重组禽流感病毒（H5+H7）三价或四价疫苗近三年产品稳定性、可靠性：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注：投标产品在陕西省内使用发生免疫副反应情况由各投标人向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重组禽流感病毒（H5+H7）三价或四价疫苗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疫苗企业重组禽流感病毒（H5+H7）三价或四价疫苗近三年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伪造技术参数或重要技术指标不满足招标文件要求的技术评分得0分。② 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一、PD50的平均值作为评分依据7分。PD50值≥6.00得3分； PD50值≥8.00得5分； PD50值≥10.00得7分。二、总肽分子量5分： 6717±140,符合的得1分；抗原浓度检测：7±2mg/ml，符合的得1分；环化度检测：硫醇基浓度高于87.5%得1分；三氟乙酸和冰乙酸含量检测：分别低于100ppm和1000ppm，符合的得1分；氨基酸水解浓度高于80%，符合的得1分。以上每有一项不符合，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本企业上述批次内毒素检验报告单得1分。以上各项没有的不得分。报告中内毒素值≤20EU/ml加1分，≤10EU/ml加2分，≤5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佐剂：提供使用国际50V佐剂证明材料（2025年以来的有效进货合同）的得2分，没有使用的不得分。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货物包装：投标人承诺货物包装（附包装材料说明及式样图片）严密、结实、保温性能好、规格统一、方便运输及储存的得3分； 未承诺及未附包装材料说明及式样图片的不得分。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伪造技术参数或重要技术指标不满足招标文件要求的技术评分得0分。② 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一、PD50的平均值作为评分依据7分。PD50值≥6.00得3分； PD50值≥8.00得5分； PD50值≥10.00得7分。二、总肽分子量5分： 6717±140,符合的得1分；抗原浓度检测：7±2mg/ml，符合的得1分；环化度检测：硫醇基浓度高于87.5%得1分；三氟乙酸和冰乙酸含量检测：分别低于100ppm和1000ppm，符合的得1分；氨基酸水解浓度高于80%，符合的得1分。以上每有一项不符合，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本企业上述批次内毒素检验报告单得1分。以上各项没有的不得分。报告中内毒素值≤20EU/ml加1分，≤10EU/ml加2分，≤5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佐剂：提供使用国际50V佐剂证明材料（2025年以来的有效进货合同）的得2分，没有使用的不得分。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货物包装：投标人承诺货物包装（附包装材料说明及式样图片）严密、结实、保温性能好、规格统一、方便运输及储存的得3分； 未承诺及未附包装材料说明及式样图片的不得分。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疫苗企业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3个批次疫苗的批签发报告，每少一个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按算术平均值计算：JXA1-R株和TJM-F92株所投疫苗成品的 TCID50≥10 5.50得2分； TCID50≥10 5.67得4分； TCID50≥10 5.84得6分； TCID50达到10 6.00得8分 ； HuN4株所投疫苗成品的 TCID50≥10 5.00得2分； TCID50≥10 5.17得4分； TCID50≥10 5.34得6分； TCID50达到10 5.50得8分。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一、TCID50离散度3分：离散度在±0.2以内的得3分，±0.3以内得1分，有一个批次及以上TCID50不在此范围不得分。二、内毒素支原体检测7分：提供上述3批内毒素的检验报告的得2分，没有的不得分。内毒素含量＜50EU/ml加1分，＜30EU/ml加2分，＜20EU/ml加3分。批签发报告证明没有支原体污染的得2分，有一批及以上污染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胎牛血清使用情况：提供使用进口胎牛血清证明材料（2025年以来的有效进货合同和发票）的得1分；证明使用进口胎牛血清数量能满足生产需要的加1分。没有使用进口胎牛血清证明材料的本项得0分。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根据投标人的产品性能、生产工艺和生产设备情况赋分。投标人的产品性能优势强，生产工艺先进、生产能力保障全面得3分。生产能力保障有缺陷扣1分，生产工艺不成熟扣1分，产品性能优势不强扣2分。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节能环保2分：提供所投产品经国家确定的认证机构出具的、处于有效期内的节能产品认证证书得1分、环境标志产品认证证书得1分。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投标人在产品使用、技术保障方面有良好的承诺和保证措施、响应程度全面具体的计4分； 投标人在产品使用、技术保障承诺或保证措施等方面描述不具体或缺少针对性内容的计3分；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3个及3个以上省份，得4分；2个省份，得3分；1个省份，得2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 伪造技术参数或重要技术指标不满足招标文件要求的技术评分得0分。 ② 所投标产品满足招标文件技术参数并同时满足国家对该产品的技术生产要求，具有完整的产品说明书、使用范围、使用方法，注意事项等说明，并提供2025年以来连续3个批次疫苗的批签发报告，每少一个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按算术平均值计算：JXA1-R株和TJM-F92株所投疫苗成品的 TCID50≥10 5.50得2分； TCID50≥10 5.67得4分； TCID50≥10 5.84得6分； TCID50达到10 6.00得8分 ； HuN4株所投疫苗成品的 TCID50≥10 5.00得2分； TCID50≥10 5.17得4分； TCID50≥10 5.34得6分； TCID50达到10 5.50得8分。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一、TCID50离散度3分：离散度在±0.2以内的得3分，±0.3以内得1分，有一个批次及以上TCID50不在此范围不得分。二、内毒素支原体检测7分：提供上述3批内毒素的检验报告的得2分，没有的不得分。内毒素含量＜50EU/ml加1分，＜30EU/ml加2分，＜20EU/ml加3分。批签发报告证明没有支原体污染的得2分，有一批及以上污染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胎牛血清使用情况：提供使用进口胎牛血清证明材料（2025年以来的有效进货合同和发票）的得1分；证明使用进口胎牛血清数量能满足生产需要的加1分。没有使用进口胎牛血清证明材料的本项得0分。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根据投标人的产品性能、生产工艺和生产设备情况赋分。投标人的产品性能优势强，生产工艺先进、生产能力保障全面得3分。生产能力保障有缺陷扣1分，生产工艺不成熟扣1分，产品性能优势不强扣2分。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节能环保2分：提供所投产品经国家确定的认证机构出具的、处于有效期内的节能产品认证证书得1分、环境标志产品认证证书得1分。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 所投标产品稳定性、可靠性强，在陕西省近一年内使用期间免疫无副反应或反应低证明的得4分, 反应比例较低的得3分，一般的2分,反应比例高、死亡率低的得1分，反应比例高、死亡率高的不得分，不能提供证明的不得分； 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投标人在产品使用、技术保障方面有良好的承诺和保证措施、响应程度全面具体的计4分； 投标人在产品使用、技术保障承诺或保证措施等方面描述不具体或缺少针对性内容的计3分；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在国内同类业绩（以合同形式提供）3个及3个以上省份，得4分；2个省份，得3分；1个省份，得2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