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版本号：SZT2025-SN-SC-ZC-FW-122020260204002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液氧采购项目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SZT2025-SN-SC-ZC-FW-1220</w:t>
      </w:r>
      <w:r>
        <w:br/>
      </w:r>
      <w:r>
        <w:br/>
      </w:r>
      <w:r>
        <w:br/>
      </w:r>
    </w:p>
    <w:p>
      <w:pPr>
        <w:pStyle w:val="null3"/>
        <w:jc w:val="center"/>
        <w:outlineLvl w:val="5"/>
      </w:pPr>
      <w:r>
        <w:rPr>
          <w:rFonts w:ascii="仿宋_GB2312" w:hAnsi="仿宋_GB2312" w:cs="仿宋_GB2312" w:eastAsia="仿宋_GB2312"/>
          <w:sz w:val="15"/>
          <w:b/>
        </w:rPr>
        <w:t>陕西中医药大学第二附属医院</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液氧采购项目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SZT2025-SN-SC-ZC-FW-1220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液氧采购项目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液氧采购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1、法定代表人授权委托书：法定代表人直接参加的，须提供法定代表人身份证，并与营业执照上信息一致。法定代表人授权代表参加的，须提供法定代表人授权书及授权代表身份证</w:t>
      </w:r>
    </w:p>
    <w:p>
      <w:pPr>
        <w:pStyle w:val="null3"/>
      </w:pPr>
      <w:r>
        <w:rPr>
          <w:rFonts w:ascii="仿宋_GB2312" w:hAnsi="仿宋_GB2312" w:cs="仿宋_GB2312" w:eastAsia="仿宋_GB2312"/>
        </w:rPr>
        <w:t>2、《药品生产许可证》及《药品注册批件》或《药品再注册批准通知书》：提供有效的《药品生产许可证》及《药品注册批件》或《药品再注册批准通知书》</w:t>
      </w:r>
    </w:p>
    <w:p>
      <w:pPr>
        <w:pStyle w:val="null3"/>
      </w:pPr>
      <w:r>
        <w:rPr>
          <w:rFonts w:ascii="仿宋_GB2312" w:hAnsi="仿宋_GB2312" w:cs="仿宋_GB2312" w:eastAsia="仿宋_GB2312"/>
        </w:rPr>
        <w:t>3、《移动式压力容器充装许可证》：提供有效的《移动式压力容器充装许可证》</w:t>
      </w:r>
    </w:p>
    <w:p>
      <w:pPr>
        <w:pStyle w:val="null3"/>
      </w:pPr>
      <w:r>
        <w:rPr>
          <w:rFonts w:ascii="仿宋_GB2312" w:hAnsi="仿宋_GB2312" w:cs="仿宋_GB2312" w:eastAsia="仿宋_GB2312"/>
        </w:rPr>
        <w:t>4、《安全生产许可证》：提供有效的《安全生产许可证》</w:t>
      </w:r>
    </w:p>
    <w:p>
      <w:pPr>
        <w:pStyle w:val="null3"/>
      </w:pPr>
      <w:r>
        <w:rPr>
          <w:rFonts w:ascii="仿宋_GB2312" w:hAnsi="仿宋_GB2312" w:cs="仿宋_GB2312" w:eastAsia="仿宋_GB2312"/>
        </w:rPr>
        <w:t>5、《道路运输经营许可证》或《道路危险货物运输许可证》(须包含危险货物运输2类)：提供有效的《道路运输经营许可证》或《道路危险货物运输许可证》(须包含危险货物运输2类)</w:t>
      </w:r>
    </w:p>
    <w:p>
      <w:pPr>
        <w:pStyle w:val="null3"/>
      </w:pPr>
      <w:r>
        <w:rPr>
          <w:rFonts w:ascii="仿宋_GB2312" w:hAnsi="仿宋_GB2312" w:cs="仿宋_GB2312" w:eastAsia="仿宋_GB2312"/>
        </w:rPr>
        <w:t>6、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029-67304326-607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采购包1：2,250,000.00元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采购包1：2,250,000.00元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16812810001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服务类收费标准，按照预算金额差额定率累进法计算下浮50%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⑴本合同及附件文本所约定的验收标准； ⑵谈判文件、响应文件、澄清表（函）； ⑶国家相应的标准、规范。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液氧采购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2,250,000.00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陕西中医药大学第二附属医院液氧采购项目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标的名称：陕西中医药大学第二附属医院液氧采购项目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一、医用气体参数要求</w:t>
            </w:r>
          </w:p>
          <w:p>
            <w:pPr>
              <w:pStyle w:val="null3"/>
              <w:jc w:val="both"/>
            </w:pPr>
            <w:r>
              <w:rPr>
                <w:rFonts w:ascii="仿宋_GB2312" w:hAnsi="仿宋_GB2312" w:cs="仿宋_GB2312" w:eastAsia="仿宋_GB2312"/>
                <w:sz w:val="21"/>
              </w:rPr>
              <w:t>技术参数及要求</w:t>
            </w:r>
          </w:p>
          <w:tbl>
            <w:tblPr>
              <w:tblBorders>
                <w:top w:val="none" w:color="000000" w:sz="4"/>
                <w:left w:val="none" w:color="000000" w:sz="4"/>
                <w:bottom w:val="none" w:color="000000" w:sz="4"/>
                <w:right w:val="none" w:color="000000" w:sz="4"/>
                <w:insideH w:val="none"/>
                <w:insideV w:val="none"/>
              </w:tblBorders>
            </w:tblPr>
            <w:tblGrid>
              <w:gridCol w:w="528"/>
              <w:gridCol w:w="959"/>
              <w:gridCol w:w="1066"/>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p>
                  <w:pPr>
                    <w:pStyle w:val="null3"/>
                    <w:jc w:val="both"/>
                  </w:pP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采购内容</w:t>
                  </w:r>
                </w:p>
              </w:tc>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纯度</w:t>
                  </w:r>
                  <w:r>
                    <w:rPr>
                      <w:rFonts w:ascii="仿宋_GB2312" w:hAnsi="仿宋_GB2312" w:cs="仿宋_GB2312" w:eastAsia="仿宋_GB2312"/>
                      <w:sz w:val="21"/>
                    </w:rPr>
                    <w:t>/</w:t>
                  </w:r>
                  <w:r>
                    <w:rPr>
                      <w:rFonts w:ascii="仿宋_GB2312" w:hAnsi="仿宋_GB2312" w:cs="仿宋_GB2312" w:eastAsia="仿宋_GB2312"/>
                      <w:sz w:val="21"/>
                    </w:rPr>
                    <w:t>标准</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医用气体</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99.5% </w:t>
                  </w:r>
                  <w:r>
                    <w:rPr>
                      <w:rFonts w:ascii="仿宋_GB2312" w:hAnsi="仿宋_GB2312" w:cs="仿宋_GB2312" w:eastAsia="仿宋_GB2312"/>
                      <w:sz w:val="21"/>
                    </w:rPr>
                    <w:t>中国药典</w:t>
                  </w:r>
                  <w:r>
                    <w:rPr>
                      <w:rFonts w:ascii="仿宋_GB2312" w:hAnsi="仿宋_GB2312" w:cs="仿宋_GB2312" w:eastAsia="仿宋_GB2312"/>
                      <w:sz w:val="21"/>
                    </w:rPr>
                    <w:t>2025</w:t>
                  </w:r>
                  <w:r>
                    <w:rPr>
                      <w:rFonts w:ascii="仿宋_GB2312" w:hAnsi="仿宋_GB2312" w:cs="仿宋_GB2312" w:eastAsia="仿宋_GB2312"/>
                      <w:sz w:val="21"/>
                    </w:rPr>
                    <w:t>年版</w:t>
                  </w:r>
                </w:p>
              </w:tc>
            </w:tr>
          </w:tbl>
          <w:p>
            <w:pPr>
              <w:pStyle w:val="null3"/>
              <w:jc w:val="both"/>
            </w:pPr>
            <w:r>
              <w:rPr>
                <w:rFonts w:ascii="仿宋_GB2312" w:hAnsi="仿宋_GB2312" w:cs="仿宋_GB2312" w:eastAsia="仿宋_GB2312"/>
                <w:sz w:val="21"/>
              </w:rPr>
              <w:t>二、标准要求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产品符合国家</w:t>
            </w:r>
            <w:r>
              <w:rPr>
                <w:rFonts w:ascii="仿宋_GB2312" w:hAnsi="仿宋_GB2312" w:cs="仿宋_GB2312" w:eastAsia="仿宋_GB2312"/>
                <w:sz w:val="21"/>
              </w:rPr>
              <w:t>(</w:t>
            </w:r>
            <w:r>
              <w:rPr>
                <w:rFonts w:ascii="仿宋_GB2312" w:hAnsi="仿宋_GB2312" w:cs="仿宋_GB2312" w:eastAsia="仿宋_GB2312"/>
                <w:sz w:val="21"/>
              </w:rPr>
              <w:t>中国药典</w:t>
            </w:r>
            <w:r>
              <w:rPr>
                <w:rFonts w:ascii="仿宋_GB2312" w:hAnsi="仿宋_GB2312" w:cs="仿宋_GB2312" w:eastAsia="仿宋_GB2312"/>
                <w:sz w:val="21"/>
              </w:rPr>
              <w:t>2025</w:t>
            </w:r>
            <w:r>
              <w:rPr>
                <w:rFonts w:ascii="仿宋_GB2312" w:hAnsi="仿宋_GB2312" w:cs="仿宋_GB2312" w:eastAsia="仿宋_GB2312"/>
                <w:sz w:val="21"/>
              </w:rPr>
              <w:t>年版、行业相关标准或使用要求</w:t>
            </w:r>
            <w:r>
              <w:rPr>
                <w:rFonts w:ascii="仿宋_GB2312" w:hAnsi="仿宋_GB2312" w:cs="仿宋_GB2312" w:eastAsia="仿宋_GB2312"/>
                <w:sz w:val="21"/>
              </w:rPr>
              <w:t>);</w:t>
            </w:r>
            <w:r>
              <w:rPr>
                <w:rFonts w:ascii="仿宋_GB2312" w:hAnsi="仿宋_GB2312" w:cs="仿宋_GB2312" w:eastAsia="仿宋_GB2312"/>
                <w:sz w:val="21"/>
              </w:rPr>
              <w:t>每批次严品需提供检验合格证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标明产品名称，压力</w:t>
            </w:r>
            <w:r>
              <w:rPr>
                <w:rFonts w:ascii="仿宋_GB2312" w:hAnsi="仿宋_GB2312" w:cs="仿宋_GB2312" w:eastAsia="仿宋_GB2312"/>
                <w:sz w:val="21"/>
              </w:rPr>
              <w:t>(MPa)</w:t>
            </w:r>
            <w:r>
              <w:rPr>
                <w:rFonts w:ascii="仿宋_GB2312" w:hAnsi="仿宋_GB2312" w:cs="仿宋_GB2312" w:eastAsia="仿宋_GB2312"/>
                <w:sz w:val="21"/>
              </w:rPr>
              <w:t>、纯度</w:t>
            </w:r>
            <w:r>
              <w:rPr>
                <w:rFonts w:ascii="仿宋_GB2312" w:hAnsi="仿宋_GB2312" w:cs="仿宋_GB2312" w:eastAsia="仿宋_GB2312"/>
                <w:sz w:val="21"/>
              </w:rPr>
              <w:t>(%)</w:t>
            </w:r>
            <w:r>
              <w:rPr>
                <w:rFonts w:ascii="仿宋_GB2312" w:hAnsi="仿宋_GB2312" w:cs="仿宋_GB2312" w:eastAsia="仿宋_GB2312"/>
                <w:sz w:val="21"/>
              </w:rPr>
              <w:t>、执行标准代号、生产企业等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乙方应满足甲方在合同期内不问断用气的要求，对不符合质量要求和标识要求的货品，甲方有权拒收，成交乙方应在甲方要求的时间内给予退换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乙方在合同服务期间，无偿向甲方操作人员提供相关医用气体用具安全使用方面的技术指导。</w:t>
            </w:r>
          </w:p>
          <w:p>
            <w:pPr>
              <w:pStyle w:val="null3"/>
              <w:jc w:val="both"/>
            </w:pPr>
            <w:r>
              <w:rPr>
                <w:rFonts w:ascii="仿宋_GB2312" w:hAnsi="仿宋_GB2312" w:cs="仿宋_GB2312" w:eastAsia="仿宋_GB2312"/>
                <w:sz w:val="21"/>
              </w:rPr>
              <w:t>三、具体要求</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供应商所有服务必须严格遵守《医用氧国家标准》、《药品生产质量管理规范》、《特种设备安全监察条例》等法律法规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供应商必须提供</w:t>
            </w:r>
            <w:r>
              <w:rPr>
                <w:rFonts w:ascii="仿宋_GB2312" w:hAnsi="仿宋_GB2312" w:cs="仿宋_GB2312" w:eastAsia="仿宋_GB2312"/>
                <w:sz w:val="21"/>
              </w:rPr>
              <w:t>7x24</w:t>
            </w:r>
            <w:r>
              <w:rPr>
                <w:rFonts w:ascii="仿宋_GB2312" w:hAnsi="仿宋_GB2312" w:cs="仿宋_GB2312" w:eastAsia="仿宋_GB2312"/>
                <w:sz w:val="21"/>
              </w:rPr>
              <w:t>小时不间断供气保障，并制定完备的应急预案，确保在任何情况下</w:t>
            </w:r>
            <w:r>
              <w:rPr>
                <w:rFonts w:ascii="仿宋_GB2312" w:hAnsi="仿宋_GB2312" w:cs="仿宋_GB2312" w:eastAsia="仿宋_GB2312"/>
                <w:sz w:val="21"/>
              </w:rPr>
              <w:t>(</w:t>
            </w:r>
            <w:r>
              <w:rPr>
                <w:rFonts w:ascii="仿宋_GB2312" w:hAnsi="仿宋_GB2312" w:cs="仿宋_GB2312" w:eastAsia="仿宋_GB2312"/>
                <w:sz w:val="21"/>
              </w:rPr>
              <w:t>包括极端天气、交通管制、设备故障等</w:t>
            </w:r>
            <w:r>
              <w:rPr>
                <w:rFonts w:ascii="仿宋_GB2312" w:hAnsi="仿宋_GB2312" w:cs="仿宋_GB2312" w:eastAsia="仿宋_GB2312"/>
                <w:sz w:val="21"/>
              </w:rPr>
              <w:t>)</w:t>
            </w:r>
            <w:r>
              <w:rPr>
                <w:rFonts w:ascii="仿宋_GB2312" w:hAnsi="仿宋_GB2312" w:cs="仿宋_GB2312" w:eastAsia="仿宋_GB2312"/>
                <w:sz w:val="21"/>
              </w:rPr>
              <w:t>临床用氧不中断。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供应商对所供医用液氧的质量负全责，确保从生产、运输、储存到终端使用的全过程符合医用标准。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配备固定人员配送。持证上岗，包括但不限于《压力容器操作证》、《危险品运输资格证》等，并提供人员备案清单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定期对医院后勤、医护人员进行安全用氧和应急知识培训，每年至少一次。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根据医院实际消耗量及储罐液位，制定科学的配送计划，确保医院液氧储罐储量始终不低于安全库存线</w:t>
            </w:r>
            <w:r>
              <w:rPr>
                <w:rFonts w:ascii="仿宋_GB2312" w:hAnsi="仿宋_GB2312" w:cs="仿宋_GB2312" w:eastAsia="仿宋_GB2312"/>
                <w:sz w:val="21"/>
              </w:rPr>
              <w:t>(</w:t>
            </w:r>
            <w:r>
              <w:rPr>
                <w:rFonts w:ascii="仿宋_GB2312" w:hAnsi="仿宋_GB2312" w:cs="仿宋_GB2312" w:eastAsia="仿宋_GB2312"/>
                <w:sz w:val="21"/>
              </w:rPr>
              <w:t>通常为总容积的</w:t>
            </w:r>
            <w:r>
              <w:rPr>
                <w:rFonts w:ascii="仿宋_GB2312" w:hAnsi="仿宋_GB2312" w:cs="仿宋_GB2312" w:eastAsia="仿宋_GB2312"/>
                <w:sz w:val="21"/>
              </w:rPr>
              <w:t>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提供全封闭、专车专用的医用液氧槽车运输，车辆配备</w:t>
            </w:r>
            <w:r>
              <w:rPr>
                <w:rFonts w:ascii="仿宋_GB2312" w:hAnsi="仿宋_GB2312" w:cs="仿宋_GB2312" w:eastAsia="仿宋_GB2312"/>
                <w:sz w:val="21"/>
              </w:rPr>
              <w:t>GPS</w:t>
            </w:r>
            <w:r>
              <w:rPr>
                <w:rFonts w:ascii="仿宋_GB2312" w:hAnsi="仿宋_GB2312" w:cs="仿宋_GB2312" w:eastAsia="仿宋_GB2312"/>
                <w:sz w:val="21"/>
              </w:rPr>
              <w:t>定位及安全警示系统，招标方可实时查询物流状态。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配送响应时间</w:t>
            </w:r>
            <w:r>
              <w:rPr>
                <w:rFonts w:ascii="仿宋_GB2312" w:hAnsi="仿宋_GB2312" w:cs="仿宋_GB2312" w:eastAsia="仿宋_GB2312"/>
                <w:sz w:val="21"/>
              </w:rPr>
              <w:t>:</w:t>
            </w:r>
            <w:r>
              <w:rPr>
                <w:rFonts w:ascii="仿宋_GB2312" w:hAnsi="仿宋_GB2312" w:cs="仿宋_GB2312" w:eastAsia="仿宋_GB2312"/>
                <w:sz w:val="21"/>
              </w:rPr>
              <w:t>接到医院补液通知后，城区内不超过</w:t>
            </w:r>
            <w:r>
              <w:rPr>
                <w:rFonts w:ascii="仿宋_GB2312" w:hAnsi="仿宋_GB2312" w:cs="仿宋_GB2312" w:eastAsia="仿宋_GB2312"/>
                <w:sz w:val="21"/>
              </w:rPr>
              <w:t>4</w:t>
            </w:r>
            <w:r>
              <w:rPr>
                <w:rFonts w:ascii="仿宋_GB2312" w:hAnsi="仿宋_GB2312" w:cs="仿宋_GB2312" w:eastAsia="仿宋_GB2312"/>
                <w:sz w:val="21"/>
              </w:rPr>
              <w:t>小时到达现场</w:t>
            </w:r>
            <w:r>
              <w:rPr>
                <w:rFonts w:ascii="仿宋_GB2312" w:hAnsi="仿宋_GB2312" w:cs="仿宋_GB2312" w:eastAsia="仿宋_GB2312"/>
                <w:sz w:val="21"/>
              </w:rPr>
              <w:t>;</w:t>
            </w:r>
            <w:r>
              <w:rPr>
                <w:rFonts w:ascii="仿宋_GB2312" w:hAnsi="仿宋_GB2312" w:cs="仿宋_GB2312" w:eastAsia="仿宋_GB2312"/>
                <w:sz w:val="21"/>
              </w:rPr>
              <w:t>需明确节假日、夜间配送的具体承诺时限。</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供应商负责提供并维护液氧储罐、汽化器、减压装置等核心供气设备，负责所有供气系统的无偿维护、保养和年检，确保设备在检定有效期内安全运行。储罐现场需设置清晰的安全标识、操作规程和紧急联系电话</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设立</w:t>
            </w:r>
            <w:r>
              <w:rPr>
                <w:rFonts w:ascii="仿宋_GB2312" w:hAnsi="仿宋_GB2312" w:cs="仿宋_GB2312" w:eastAsia="仿宋_GB2312"/>
                <w:sz w:val="21"/>
              </w:rPr>
              <w:t>24</w:t>
            </w:r>
            <w:r>
              <w:rPr>
                <w:rFonts w:ascii="仿宋_GB2312" w:hAnsi="仿宋_GB2312" w:cs="仿宋_GB2312" w:eastAsia="仿宋_GB2312"/>
                <w:sz w:val="21"/>
              </w:rPr>
              <w:t>小时应急服务专线，接到医院故障报警后，技术人员</w:t>
            </w:r>
            <w:r>
              <w:rPr>
                <w:rFonts w:ascii="仿宋_GB2312" w:hAnsi="仿宋_GB2312" w:cs="仿宋_GB2312" w:eastAsia="仿宋_GB2312"/>
                <w:sz w:val="21"/>
              </w:rPr>
              <w:t>30</w:t>
            </w:r>
            <w:r>
              <w:rPr>
                <w:rFonts w:ascii="仿宋_GB2312" w:hAnsi="仿宋_GB2312" w:cs="仿宋_GB2312" w:eastAsia="仿宋_GB2312"/>
                <w:sz w:val="21"/>
              </w:rPr>
              <w:t>分钟内，响应，</w:t>
            </w:r>
            <w:r>
              <w:rPr>
                <w:rFonts w:ascii="仿宋_GB2312" w:hAnsi="仿宋_GB2312" w:cs="仿宋_GB2312" w:eastAsia="仿宋_GB2312"/>
                <w:sz w:val="21"/>
              </w:rPr>
              <w:t>2</w:t>
            </w:r>
            <w:r>
              <w:rPr>
                <w:rFonts w:ascii="仿宋_GB2312" w:hAnsi="仿宋_GB2312" w:cs="仿宋_GB2312" w:eastAsia="仿宋_GB2312"/>
                <w:sz w:val="21"/>
              </w:rPr>
              <w:t>小时内抵达现场处理。对于可能导致供气中断的重大故障，必须启动应急预案，包括调用移动储罐、液氧瓶组等方式进行临时供气，确保临床不间断。每半年与医院共同组织一次液氧供应中断应急演练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每次配送必须随车提供该批次医用液氧的《质量检验报告》，内容符合国家标准。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可根据医院需求，定期</w:t>
            </w:r>
            <w:r>
              <w:rPr>
                <w:rFonts w:ascii="仿宋_GB2312" w:hAnsi="仿宋_GB2312" w:cs="仿宋_GB2312" w:eastAsia="仿宋_GB2312"/>
                <w:sz w:val="21"/>
              </w:rPr>
              <w:t>(</w:t>
            </w:r>
            <w:r>
              <w:rPr>
                <w:rFonts w:ascii="仿宋_GB2312" w:hAnsi="仿宋_GB2312" w:cs="仿宋_GB2312" w:eastAsia="仿宋_GB2312"/>
                <w:sz w:val="21"/>
              </w:rPr>
              <w:t>如每季度</w:t>
            </w:r>
            <w:r>
              <w:rPr>
                <w:rFonts w:ascii="仿宋_GB2312" w:hAnsi="仿宋_GB2312" w:cs="仿宋_GB2312" w:eastAsia="仿宋_GB2312"/>
                <w:sz w:val="21"/>
              </w:rPr>
              <w:t>)</w:t>
            </w:r>
            <w:r>
              <w:rPr>
                <w:rFonts w:ascii="仿宋_GB2312" w:hAnsi="仿宋_GB2312" w:cs="仿宋_GB2312" w:eastAsia="仿宋_GB2312"/>
                <w:sz w:val="21"/>
              </w:rPr>
              <w:t>使用专用检测仪对终端氧气含量进行抽样检测，并出具报告。</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建立完整的服务档案，包括但不限于</w:t>
            </w:r>
            <w:r>
              <w:rPr>
                <w:rFonts w:ascii="仿宋_GB2312" w:hAnsi="仿宋_GB2312" w:cs="仿宋_GB2312" w:eastAsia="仿宋_GB2312"/>
                <w:sz w:val="21"/>
              </w:rPr>
              <w:t>:</w:t>
            </w:r>
            <w:r>
              <w:rPr>
                <w:rFonts w:ascii="仿宋_GB2312" w:hAnsi="仿宋_GB2312" w:cs="仿宋_GB2312" w:eastAsia="仿宋_GB2312"/>
                <w:sz w:val="21"/>
              </w:rPr>
              <w:t>配送记录、巡检报告、维护保养记录、培训记录、应急演练记录、质量报告等，供医院随时查阅</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“一次性付清”为系统固定推述内容，具体付款方式以下列内容为准：1、自合同签订之日起，按月结算，次月初甲方通知乙方开票，甲方在收到乙方发票后60日之内付款。 甲方每次付款前，乙方提供一个月液氧费用全额发票等甲方需要的结算手续， 否则甲方有权迟延付款，并不因此承担违约责任。乙方违约在先的，甲方有权暂 停支付费用；甲方有权在任何一笔应支付的费用中扣除违约金、赔偿款等费用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1、根据采购人档案管理要求，供应商需要在线提交所有通过电子化交易平台实施的政府采购项目的投标文件，同时，线下提交投标文件正本 壹 份、副本 壹 套。若系统电子投标文件与纸质投标文件不一致的，以系统电子投标文件为准。 2、定标环节采购人有权对响应文件承诺响应的内容进行复核，如有虚假响应，一经发现，取消成交资格并上报财政主管部门，列入政府采购黑名单。3、本项目单价最高限价：1700元/吨（含运费）。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法定代表人直接参加的，须提供法定代表人身份证，并与营业执照上信息一致。法定代表人授权代表参加的，须提供法定代表人授权书及授权代表身份证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《药品生产许可证》及《药品注册批件》或《药品再注册批准通知书》</w:t>
            </w:r>
          </w:p>
        </w:tc>
        <w:tc>
          <w:tcPr>
            <w:tcW w:type="dxa" w:w="3322"/>
          </w:tcPr>
          <w:p>
            <w:pPr>
              <w:pStyle w:val="null3"/>
            </w:pPr>
            <w:r>
              <w:rPr>
                <w:rFonts w:ascii="仿宋_GB2312" w:hAnsi="仿宋_GB2312" w:cs="仿宋_GB2312" w:eastAsia="仿宋_GB2312"/>
              </w:rPr>
              <w:t>提供有效的《药品生产许可证》及《药品注册批件》或《药品再注册批准通知书》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《移动式压力容器充装许可证》</w:t>
            </w:r>
          </w:p>
        </w:tc>
        <w:tc>
          <w:tcPr>
            <w:tcW w:type="dxa" w:w="3322"/>
          </w:tcPr>
          <w:p>
            <w:pPr>
              <w:pStyle w:val="null3"/>
            </w:pPr>
            <w:r>
              <w:rPr>
                <w:rFonts w:ascii="仿宋_GB2312" w:hAnsi="仿宋_GB2312" w:cs="仿宋_GB2312" w:eastAsia="仿宋_GB2312"/>
              </w:rPr>
              <w:t>提供有效的《移动式压力容器充装许可证》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提供有效的《安全生产许可证》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《道路运输经营许可证》或《道路危险货物运输许可证》(须包含危险货物运输2类)</w:t>
            </w:r>
          </w:p>
        </w:tc>
        <w:tc>
          <w:tcPr>
            <w:tcW w:type="dxa" w:w="3322"/>
          </w:tcPr>
          <w:p>
            <w:pPr>
              <w:pStyle w:val="null3"/>
            </w:pPr>
            <w:r>
              <w:rPr>
                <w:rFonts w:ascii="仿宋_GB2312" w:hAnsi="仿宋_GB2312" w:cs="仿宋_GB2312" w:eastAsia="仿宋_GB2312"/>
              </w:rPr>
              <w:t>提供有效的《道路运输经营许可证》或《道路危险货物运输许可证》(须包含危险货物运输2类)</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 二、强化政府采购异常低价审查 （一）政府采购评审中出现下列情形之一的，谈判小组应当启动异常低价响应审查程序： 1.响应报价低于全部通过符合性审查供应商响应报价平均值50%的，即响应报价&lt;全部通过符合性审查供应商响应报价平均值×50%； 2.响应报价低于通过符合性审查的次低报价供应商响应报价50%的，即响应报价&lt;通过符合性审查的次低报价供应商响应报价×50%； 3.响应报价低于采购项目最高限价45%的，即响应报价&lt;采购项目最高限价×45%； 4.谈判小组基于专业判断，认为供应商报价过低，有可能影响产品质量或者不能诚信履约的其他情形。 （二）谈判小组启动异常低价响应审查后，相关供应商在评审现场合理的时间内对响应价格作出解释，提供项目具体成本测算等与报价合理性相关的书面说明及必要的证明材料，包括但不限于原材料成本、人工成本、制造费用等。 谈判小组依据专业经验，参考同类项目中标（成交）价格、类似产品市场价格水平、行业人工费用标准、国家有关部门指导行业协会发布的行业平均成本等情况，对报价合理性进行判断。响应供应商不能提供书面说明、证明材料，或者提供的书面说明、证明材料不能证明其报价合理性的，磋商小组应当将其作为无效响应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三年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三年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1、自合同签订之日起，按月结算，次月初甲方通知乙方开票，甲方在收到乙方发票后60日之内付款。 甲方每次付款前，乙方提供一个月液氧费用全额发票等甲方需要的结算手续， 否则甲方有权迟延付款，并不因此承担违约责任。乙方违约在先的，甲方有权暂 停支付费用；甲方有权在任何一笔应支付的费用中扣除违约金、赔偿款等费用 ，达到付款条件起 60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响应内容满足谈判文件要求，无重大偏离、服务内容明确，满足采购人使用需求、谈判文件规定的其他要求。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 业绩一览表.docx 报价表及分项报价表.docx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详见附件：液氧采购合同.docx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