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版本号：【KRDL】K4-251021520260209001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100GRDMA测试系统采购项目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【KRDL】K4-2510215</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100GRDMA测试系统采购项目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【KRDL】K4-2510215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100GRDMA测试系统采购项目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西安邮电大学100G RDMA 测试系统采购项目，拟采购超高速数据传输协议测试平台、网卡驱动软件、RDMA测试卡、智能网卡原型及RDMA逻辑测试平台各1套，具体采购内容及要求详见本项目招标文件、答疑文件等文件的全部内容。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1、主体资格：投标人为向招标人提供相关货物的法人或其他组织；</w:t>
      </w:r>
    </w:p>
    <w:p>
      <w:pPr>
        <w:pStyle w:val="null3"/>
      </w:pPr>
      <w:r>
        <w:rPr>
          <w:rFonts w:ascii="仿宋_GB2312" w:hAnsi="仿宋_GB2312" w:cs="仿宋_GB2312" w:eastAsia="仿宋_GB2312"/>
        </w:rPr>
        <w:t>2、财务状况证明：投标人提供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6、是否接受进口产品投标：本项目未做进口论证，不接受进口产品的投标。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代光艳、刘如拉、贾亚妮、王昭、姚瑶、刘昆、张晨、王森、靳祥德、成荔、彭明杨、王莉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国家发展改革委员会办公厅颁发的《关于招标代理服务收费有关问题的通知》（发改办价格[2003] 857号）的有关规定标准下浮20%计取，向采购代理机构一次付清代理服务费。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西安邮电大学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以本项目签订合同约定为准。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联系人：刘如拉</w:t>
      </w:r>
    </w:p>
    <w:p>
      <w:pPr>
        <w:pStyle w:val="null3"/>
      </w:pPr>
      <w:r>
        <w:rPr>
          <w:rFonts w:ascii="仿宋_GB2312" w:hAnsi="仿宋_GB2312" w:cs="仿宋_GB2312" w:eastAsia="仿宋_GB2312"/>
        </w:rPr>
        <w:t>联系电话：15229797656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西安邮电大学100G RDMA 测试系统采购项目，拟采购超高速数据传输协议测试平台、网卡驱动软件、RDMA测试卡、智能网卡原型及RDMA逻辑测试平台各1套。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3,590,000.00</w:t>
      </w:r>
    </w:p>
    <w:p>
      <w:pPr>
        <w:pStyle w:val="null3"/>
      </w:pPr>
      <w:r>
        <w:rPr>
          <w:rFonts w:ascii="仿宋_GB2312" w:hAnsi="仿宋_GB2312" w:cs="仿宋_GB2312" w:eastAsia="仿宋_GB2312"/>
        </w:rPr>
        <w:t>采购包最高限价（元）: 3,590,000.00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100G RDMA 测试系统采购项目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3,590,000.00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标的名称：100G RDMA 测试系统采购项目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1"/>
              <w:gridCol w:w="256"/>
              <w:gridCol w:w="1753"/>
              <w:gridCol w:w="333"/>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品目</w:t>
                  </w:r>
                </w:p>
                <w:p>
                  <w:pPr>
                    <w:pStyle w:val="null3"/>
                    <w:jc w:val="center"/>
                  </w:pPr>
                  <w:r>
                    <w:rPr>
                      <w:rFonts w:ascii="仿宋_GB2312" w:hAnsi="仿宋_GB2312" w:cs="仿宋_GB2312" w:eastAsia="仿宋_GB2312"/>
                      <w:sz w:val="24"/>
                      <w:b/>
                      <w:color w:val="000000"/>
                    </w:rPr>
                    <w:t>名称</w:t>
                  </w:r>
                </w:p>
              </w:tc>
              <w:tc>
                <w:tcPr>
                  <w:tcW w:type="dxa" w:w="1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技术要求</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r>
                    <w:rPr>
                      <w:rFonts w:ascii="仿宋_GB2312" w:hAnsi="仿宋_GB2312" w:cs="仿宋_GB2312" w:eastAsia="仿宋_GB2312"/>
                      <w:sz w:val="24"/>
                      <w:b/>
                      <w:color w:val="000000"/>
                    </w:rPr>
                    <w:t>/单位</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超高速数据传输协议测试平台</w:t>
                  </w:r>
                  <w:r>
                    <w:rPr>
                      <w:rFonts w:ascii="仿宋_GB2312" w:hAnsi="仿宋_GB2312" w:cs="仿宋_GB2312" w:eastAsia="仿宋_GB2312"/>
                      <w:sz w:val="24"/>
                      <w:b/>
                      <w:color w:val="000000"/>
                    </w:rPr>
                    <w:t>（核心产品）</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一、平台要求：</w:t>
                  </w:r>
                </w:p>
                <w:p>
                  <w:pPr>
                    <w:pStyle w:val="null3"/>
                    <w:jc w:val="both"/>
                  </w:pPr>
                  <w:r>
                    <w:rPr>
                      <w:rFonts w:ascii="仿宋_GB2312" w:hAnsi="仿宋_GB2312" w:cs="仿宋_GB2312" w:eastAsia="仿宋_GB2312"/>
                      <w:sz w:val="24"/>
                      <w:color w:val="000000"/>
                    </w:rPr>
                    <w:t>1.提供</w:t>
                  </w:r>
                  <w:r>
                    <w:rPr>
                      <w:rFonts w:ascii="仿宋_GB2312" w:hAnsi="仿宋_GB2312" w:cs="仿宋_GB2312" w:eastAsia="仿宋_GB2312"/>
                      <w:sz w:val="24"/>
                      <w:color w:val="000000"/>
                    </w:rPr>
                    <w:t>≥</w:t>
                  </w:r>
                  <w:r>
                    <w:rPr>
                      <w:rFonts w:ascii="仿宋_GB2312" w:hAnsi="仿宋_GB2312" w:cs="仿宋_GB2312" w:eastAsia="仿宋_GB2312"/>
                      <w:sz w:val="24"/>
                      <w:color w:val="000000"/>
                    </w:rPr>
                    <w:t>1台100G RDMA终端测试仪、</w:t>
                  </w:r>
                  <w:r>
                    <w:rPr>
                      <w:rFonts w:ascii="仿宋_GB2312" w:hAnsi="仿宋_GB2312" w:cs="仿宋_GB2312" w:eastAsia="仿宋_GB2312"/>
                      <w:sz w:val="24"/>
                      <w:color w:val="000000"/>
                    </w:rPr>
                    <w:t>≥</w:t>
                  </w:r>
                  <w:r>
                    <w:rPr>
                      <w:rFonts w:ascii="仿宋_GB2312" w:hAnsi="仿宋_GB2312" w:cs="仿宋_GB2312" w:eastAsia="仿宋_GB2312"/>
                      <w:sz w:val="24"/>
                      <w:color w:val="000000"/>
                    </w:rPr>
                    <w:t>1台100G网络测试仪;</w:t>
                  </w:r>
                </w:p>
                <w:p>
                  <w:pPr>
                    <w:pStyle w:val="null3"/>
                    <w:jc w:val="both"/>
                  </w:pPr>
                  <w:r>
                    <w:rPr>
                      <w:rFonts w:ascii="仿宋_GB2312" w:hAnsi="仿宋_GB2312" w:cs="仿宋_GB2312" w:eastAsia="仿宋_GB2312"/>
                      <w:sz w:val="24"/>
                      <w:color w:val="000000"/>
                    </w:rPr>
                    <w:t>2.100G RDMA终端测试仪能够覆盖一致性、异常、性能测试；</w:t>
                  </w:r>
                </w:p>
                <w:p>
                  <w:pPr>
                    <w:pStyle w:val="null3"/>
                    <w:jc w:val="both"/>
                  </w:pPr>
                  <w:r>
                    <w:rPr>
                      <w:rFonts w:ascii="仿宋_GB2312" w:hAnsi="仿宋_GB2312" w:cs="仿宋_GB2312" w:eastAsia="仿宋_GB2312"/>
                      <w:sz w:val="24"/>
                      <w:color w:val="000000"/>
                    </w:rPr>
                    <w:t>3.100G RDMA终端测试仪支持测试用例的自动化管理，支持用例批量调度与执行；</w:t>
                  </w:r>
                </w:p>
                <w:p>
                  <w:pPr>
                    <w:pStyle w:val="null3"/>
                    <w:jc w:val="both"/>
                  </w:pPr>
                  <w:r>
                    <w:rPr>
                      <w:rFonts w:ascii="仿宋_GB2312" w:hAnsi="仿宋_GB2312" w:cs="仿宋_GB2312" w:eastAsia="仿宋_GB2312"/>
                      <w:sz w:val="24"/>
                      <w:color w:val="000000"/>
                    </w:rPr>
                    <w:t>4.100G RDMA终端测试仪支持测试结果导出PDF等格式，支持显示测试例执行时间</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▲5.100G RDMA终端测试仪支持根据测试例要求，提供不同的测试参数输入，至少包括QP数量、PMTU Size、Payload Size；</w:t>
                  </w:r>
                </w:p>
                <w:p>
                  <w:pPr>
                    <w:pStyle w:val="null3"/>
                    <w:jc w:val="both"/>
                  </w:pPr>
                  <w:r>
                    <w:rPr>
                      <w:rFonts w:ascii="仿宋_GB2312" w:hAnsi="仿宋_GB2312" w:cs="仿宋_GB2312" w:eastAsia="仿宋_GB2312"/>
                      <w:sz w:val="24"/>
                      <w:color w:val="000000"/>
                    </w:rPr>
                    <w:t>★6.100G网络测试仪支持</w:t>
                  </w:r>
                  <w:r>
                    <w:rPr>
                      <w:rFonts w:ascii="仿宋_GB2312" w:hAnsi="仿宋_GB2312" w:cs="仿宋_GB2312" w:eastAsia="仿宋_GB2312"/>
                      <w:sz w:val="24"/>
                      <w:color w:val="000000"/>
                    </w:rPr>
                    <w:t>≥</w:t>
                  </w:r>
                  <w:r>
                    <w:rPr>
                      <w:rFonts w:ascii="仿宋_GB2312" w:hAnsi="仿宋_GB2312" w:cs="仿宋_GB2312" w:eastAsia="仿宋_GB2312"/>
                      <w:sz w:val="24"/>
                      <w:color w:val="000000"/>
                    </w:rPr>
                    <w:t>4个100G QSFP28接口;</w:t>
                  </w:r>
                </w:p>
                <w:p>
                  <w:pPr>
                    <w:pStyle w:val="null3"/>
                    <w:jc w:val="both"/>
                  </w:pPr>
                  <w:r>
                    <w:rPr>
                      <w:rFonts w:ascii="仿宋_GB2312" w:hAnsi="仿宋_GB2312" w:cs="仿宋_GB2312" w:eastAsia="仿宋_GB2312"/>
                      <w:sz w:val="24"/>
                      <w:color w:val="000000"/>
                    </w:rPr>
                    <w:t>★7.100G网络测试仪的100G端口兼容10G/25G/40G/50G/100G</w:t>
                  </w:r>
                  <w:r>
                    <w:rPr>
                      <w:rFonts w:ascii="仿宋_GB2312" w:hAnsi="仿宋_GB2312" w:cs="仿宋_GB2312" w:eastAsia="仿宋_GB2312"/>
                      <w:sz w:val="24"/>
                      <w:color w:val="000000"/>
                    </w:rPr>
                    <w:t>等</w:t>
                  </w:r>
                  <w:r>
                    <w:rPr>
                      <w:rFonts w:ascii="仿宋_GB2312" w:hAnsi="仿宋_GB2312" w:cs="仿宋_GB2312" w:eastAsia="仿宋_GB2312"/>
                      <w:sz w:val="24"/>
                      <w:color w:val="000000"/>
                    </w:rPr>
                    <w:t>速率</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8．100G RDMA终端测试仪支持实时显示测试运行日志。</w:t>
                  </w:r>
                </w:p>
                <w:p>
                  <w:pPr>
                    <w:pStyle w:val="null3"/>
                    <w:jc w:val="both"/>
                  </w:pPr>
                  <w:r>
                    <w:rPr>
                      <w:rFonts w:ascii="仿宋_GB2312" w:hAnsi="仿宋_GB2312" w:cs="仿宋_GB2312" w:eastAsia="仿宋_GB2312"/>
                      <w:sz w:val="24"/>
                      <w:b/>
                      <w:color w:val="000000"/>
                    </w:rPr>
                    <w:t>二、测试功能要求：</w:t>
                  </w:r>
                </w:p>
                <w:p>
                  <w:pPr>
                    <w:pStyle w:val="null3"/>
                    <w:jc w:val="both"/>
                  </w:pPr>
                  <w:r>
                    <w:rPr>
                      <w:rFonts w:ascii="仿宋_GB2312" w:hAnsi="仿宋_GB2312" w:cs="仿宋_GB2312" w:eastAsia="仿宋_GB2312"/>
                      <w:sz w:val="24"/>
                      <w:color w:val="000000"/>
                    </w:rPr>
                    <w:t>9.一致性测试要求基于当前IB</w:t>
                  </w:r>
                  <w:r>
                    <w:rPr>
                      <w:rFonts w:ascii="仿宋_GB2312" w:hAnsi="仿宋_GB2312" w:cs="仿宋_GB2312" w:eastAsia="仿宋_GB2312"/>
                      <w:sz w:val="21"/>
                    </w:rPr>
                    <w:t xml:space="preserve"> </w:t>
                  </w:r>
                  <w:r>
                    <w:rPr>
                      <w:rFonts w:ascii="仿宋_GB2312" w:hAnsi="仿宋_GB2312" w:cs="仿宋_GB2312" w:eastAsia="仿宋_GB2312"/>
                      <w:sz w:val="24"/>
                      <w:color w:val="000000"/>
                    </w:rPr>
                    <w:t>Specification</w:t>
                  </w:r>
                  <w:r>
                    <w:rPr>
                      <w:rFonts w:ascii="仿宋_GB2312" w:hAnsi="仿宋_GB2312" w:cs="仿宋_GB2312" w:eastAsia="仿宋_GB2312"/>
                      <w:sz w:val="21"/>
                    </w:rPr>
                    <w:t xml:space="preserve"> </w:t>
                  </w:r>
                  <w:r>
                    <w:rPr>
                      <w:rFonts w:ascii="仿宋_GB2312" w:hAnsi="仿宋_GB2312" w:cs="仿宋_GB2312" w:eastAsia="仿宋_GB2312"/>
                      <w:sz w:val="24"/>
                      <w:color w:val="000000"/>
                    </w:rPr>
                    <w:t>Vol1</w:t>
                  </w:r>
                  <w:r>
                    <w:rPr>
                      <w:rFonts w:ascii="仿宋_GB2312" w:hAnsi="仿宋_GB2312" w:cs="仿宋_GB2312" w:eastAsia="仿宋_GB2312"/>
                      <w:sz w:val="24"/>
                      <w:color w:val="000000"/>
                    </w:rPr>
                    <w:t>或以上</w:t>
                  </w:r>
                  <w:r>
                    <w:rPr>
                      <w:rFonts w:ascii="仿宋_GB2312" w:hAnsi="仿宋_GB2312" w:cs="仿宋_GB2312" w:eastAsia="仿宋_GB2312"/>
                      <w:sz w:val="24"/>
                      <w:color w:val="000000"/>
                    </w:rPr>
                    <w:t>标准（以下简称标准）进行测试；</w:t>
                  </w:r>
                </w:p>
                <w:p>
                  <w:pPr>
                    <w:pStyle w:val="null3"/>
                    <w:jc w:val="both"/>
                  </w:pPr>
                  <w:r>
                    <w:rPr>
                      <w:rFonts w:ascii="仿宋_GB2312" w:hAnsi="仿宋_GB2312" w:cs="仿宋_GB2312" w:eastAsia="仿宋_GB2312"/>
                      <w:sz w:val="24"/>
                      <w:color w:val="000000"/>
                    </w:rPr>
                    <w:t>10.支持验证被测系统发起Socket建链请求，并且通过Socket连接方式交互不少于QPN、VA、R_Key等参数；</w:t>
                  </w:r>
                </w:p>
                <w:p>
                  <w:pPr>
                    <w:pStyle w:val="null3"/>
                    <w:jc w:val="both"/>
                  </w:pPr>
                  <w:r>
                    <w:rPr>
                      <w:rFonts w:ascii="仿宋_GB2312" w:hAnsi="仿宋_GB2312" w:cs="仿宋_GB2312" w:eastAsia="仿宋_GB2312"/>
                      <w:sz w:val="24"/>
                      <w:color w:val="000000"/>
                    </w:rPr>
                    <w:t>11.支持验证被测系统响应Socket建链请求，并且通过Socket连接方式交互不少于QPN、VA、R_Key等参数；</w:t>
                  </w:r>
                </w:p>
                <w:p>
                  <w:pPr>
                    <w:pStyle w:val="null3"/>
                    <w:jc w:val="both"/>
                  </w:pPr>
                  <w:r>
                    <w:rPr>
                      <w:rFonts w:ascii="仿宋_GB2312" w:hAnsi="仿宋_GB2312" w:cs="仿宋_GB2312" w:eastAsia="仿宋_GB2312"/>
                      <w:sz w:val="24"/>
                      <w:color w:val="000000"/>
                    </w:rPr>
                    <w:t>12.支持验证被测系统作为主动客户端，向被动服务端发起CM建链请求，验证被测系统发送不少于CM REQ、响应CM REP、发送CM RTU等行为是否符合标准；</w:t>
                  </w:r>
                </w:p>
                <w:p>
                  <w:pPr>
                    <w:pStyle w:val="null3"/>
                    <w:jc w:val="both"/>
                  </w:pPr>
                  <w:r>
                    <w:rPr>
                      <w:rFonts w:ascii="仿宋_GB2312" w:hAnsi="仿宋_GB2312" w:cs="仿宋_GB2312" w:eastAsia="仿宋_GB2312"/>
                      <w:sz w:val="24"/>
                      <w:color w:val="000000"/>
                    </w:rPr>
                    <w:t>13.支持验证被测系统作为被动服务端，在接收到主动客户端发起的CM REQ时，能正确回应CM REP，并且CM REP可携带不少于Remote Communication ID、Local QPN、Q-key等参数；</w:t>
                  </w:r>
                </w:p>
                <w:p>
                  <w:pPr>
                    <w:pStyle w:val="null3"/>
                    <w:jc w:val="both"/>
                  </w:pPr>
                  <w:r>
                    <w:rPr>
                      <w:rFonts w:ascii="仿宋_GB2312" w:hAnsi="仿宋_GB2312" w:cs="仿宋_GB2312" w:eastAsia="仿宋_GB2312"/>
                      <w:sz w:val="24"/>
                      <w:color w:val="000000"/>
                    </w:rPr>
                    <w:t>14.支持验证被测系统作为主动客户端，向被动服务端发起CM建链请求，在服务端拒绝的情况下，被测系统发送CM REQ、收到CM REJ后的行为符合标准；</w:t>
                  </w:r>
                </w:p>
                <w:p>
                  <w:pPr>
                    <w:pStyle w:val="null3"/>
                    <w:jc w:val="both"/>
                  </w:pPr>
                  <w:r>
                    <w:rPr>
                      <w:rFonts w:ascii="仿宋_GB2312" w:hAnsi="仿宋_GB2312" w:cs="仿宋_GB2312" w:eastAsia="仿宋_GB2312"/>
                      <w:sz w:val="24"/>
                      <w:color w:val="000000"/>
                    </w:rPr>
                    <w:t>15.支持验证被测系统作为被动服务端，在接收到主动客户端发起的CM REQ时，如果无法处理请求或者不愿接收请求的情况下，回复CM REJ的行为符合标准；</w:t>
                  </w:r>
                </w:p>
                <w:p>
                  <w:pPr>
                    <w:pStyle w:val="null3"/>
                    <w:jc w:val="both"/>
                  </w:pPr>
                  <w:r>
                    <w:rPr>
                      <w:rFonts w:ascii="仿宋_GB2312" w:hAnsi="仿宋_GB2312" w:cs="仿宋_GB2312" w:eastAsia="仿宋_GB2312"/>
                      <w:sz w:val="24"/>
                      <w:color w:val="000000"/>
                    </w:rPr>
                    <w:t>▲16.支持验证被测系统可以通过Verbs API创建PD；支持验证被测系统可以通过Verbs API销毁PD；</w:t>
                  </w:r>
                </w:p>
                <w:p>
                  <w:pPr>
                    <w:pStyle w:val="null3"/>
                    <w:jc w:val="both"/>
                  </w:pPr>
                  <w:r>
                    <w:rPr>
                      <w:rFonts w:ascii="仿宋_GB2312" w:hAnsi="仿宋_GB2312" w:cs="仿宋_GB2312" w:eastAsia="仿宋_GB2312"/>
                      <w:sz w:val="24"/>
                      <w:color w:val="000000"/>
                    </w:rPr>
                    <w:t>▲17.支持验证被测系统创建PD之后，本端QP只能访问它所属PD内部的MR；</w:t>
                  </w:r>
                </w:p>
                <w:p>
                  <w:pPr>
                    <w:pStyle w:val="null3"/>
                    <w:jc w:val="both"/>
                  </w:pPr>
                  <w:r>
                    <w:rPr>
                      <w:rFonts w:ascii="仿宋_GB2312" w:hAnsi="仿宋_GB2312" w:cs="仿宋_GB2312" w:eastAsia="仿宋_GB2312"/>
                      <w:sz w:val="24"/>
                      <w:color w:val="000000"/>
                    </w:rPr>
                    <w:t>18.支持验证被测系统创建PD之后，远端QP只能访问对端QP所属PD内部的MR；</w:t>
                  </w:r>
                </w:p>
                <w:p>
                  <w:pPr>
                    <w:pStyle w:val="null3"/>
                    <w:jc w:val="both"/>
                  </w:pPr>
                  <w:r>
                    <w:rPr>
                      <w:rFonts w:ascii="仿宋_GB2312" w:hAnsi="仿宋_GB2312" w:cs="仿宋_GB2312" w:eastAsia="仿宋_GB2312"/>
                      <w:sz w:val="24"/>
                      <w:color w:val="000000"/>
                    </w:rPr>
                    <w:t>19.支持验证被测系统支持通过Verbs API 如ibv_create_qp创建QP并绑定一个PD，创建成功后返回QP指针,可通过ibv_query_qp查询QP信息，可通过ibv_modify_qp修改QP参数；</w:t>
                  </w:r>
                </w:p>
                <w:p>
                  <w:pPr>
                    <w:pStyle w:val="null3"/>
                    <w:jc w:val="both"/>
                  </w:pPr>
                  <w:r>
                    <w:rPr>
                      <w:rFonts w:ascii="仿宋_GB2312" w:hAnsi="仿宋_GB2312" w:cs="仿宋_GB2312" w:eastAsia="仿宋_GB2312"/>
                      <w:sz w:val="24"/>
                      <w:color w:val="000000"/>
                    </w:rPr>
                    <w:t>20.支持验证被测系统支持通过Verbs API 如ibv_destroy_qp删除QP，删除成功后，QP资源已经被成功释放，无法再查询到；</w:t>
                  </w:r>
                </w:p>
                <w:p>
                  <w:pPr>
                    <w:pStyle w:val="null3"/>
                    <w:jc w:val="both"/>
                  </w:pPr>
                  <w:r>
                    <w:rPr>
                      <w:rFonts w:ascii="仿宋_GB2312" w:hAnsi="仿宋_GB2312" w:cs="仿宋_GB2312" w:eastAsia="仿宋_GB2312"/>
                      <w:sz w:val="24"/>
                      <w:color w:val="000000"/>
                    </w:rPr>
                    <w:t>21.支持验证被测系统支持通过Verbs API 如ibv_create_cq创建CQ，创建成功后返回CQ指针；可以通过ibv_query_cq查询CQ信息；可以通过ibv_modify_cq修改CQ参数；</w:t>
                  </w:r>
                </w:p>
                <w:p>
                  <w:pPr>
                    <w:pStyle w:val="null3"/>
                    <w:jc w:val="both"/>
                  </w:pPr>
                  <w:r>
                    <w:rPr>
                      <w:rFonts w:ascii="仿宋_GB2312" w:hAnsi="仿宋_GB2312" w:cs="仿宋_GB2312" w:eastAsia="仿宋_GB2312"/>
                      <w:sz w:val="24"/>
                      <w:color w:val="000000"/>
                    </w:rPr>
                    <w:t>22.支持验证被测系统支持通过Verbs API 如ibv_destroy_cq删除CQ，删除成功后，CQ资源已经被成功释放，无法再查询到；</w:t>
                  </w:r>
                </w:p>
                <w:p>
                  <w:pPr>
                    <w:pStyle w:val="null3"/>
                    <w:jc w:val="both"/>
                  </w:pPr>
                  <w:r>
                    <w:rPr>
                      <w:rFonts w:ascii="仿宋_GB2312" w:hAnsi="仿宋_GB2312" w:cs="仿宋_GB2312" w:eastAsia="仿宋_GB2312"/>
                      <w:sz w:val="24"/>
                      <w:color w:val="000000"/>
                    </w:rPr>
                    <w:t>▲23.支持验证被测系统通过Send发送的数据可以按照设定不少于长度、PMTU、内存地址等参数被接收端正确接收；</w:t>
                  </w:r>
                </w:p>
                <w:p>
                  <w:pPr>
                    <w:pStyle w:val="null3"/>
                    <w:jc w:val="both"/>
                  </w:pPr>
                  <w:r>
                    <w:rPr>
                      <w:rFonts w:ascii="仿宋_GB2312" w:hAnsi="仿宋_GB2312" w:cs="仿宋_GB2312" w:eastAsia="仿宋_GB2312"/>
                      <w:sz w:val="24"/>
                      <w:color w:val="000000"/>
                    </w:rPr>
                    <w:t>▲24.支持验证被测系统通过Write发送的数据可以按照设定不少于长度、PMTU、内存地址等参数正确写入远端的目的内存；</w:t>
                  </w:r>
                </w:p>
                <w:p>
                  <w:pPr>
                    <w:pStyle w:val="null3"/>
                    <w:jc w:val="both"/>
                  </w:pPr>
                  <w:r>
                    <w:rPr>
                      <w:rFonts w:ascii="仿宋_GB2312" w:hAnsi="仿宋_GB2312" w:cs="仿宋_GB2312" w:eastAsia="仿宋_GB2312"/>
                      <w:sz w:val="24"/>
                      <w:color w:val="000000"/>
                    </w:rPr>
                    <w:t>25.支持验证被测系统可以通过Read Response按照设定不少于长度、PMTU、内存地址等参数，把发起请求的内存中的数据发送给对端；</w:t>
                  </w:r>
                </w:p>
                <w:p>
                  <w:pPr>
                    <w:pStyle w:val="null3"/>
                    <w:jc w:val="both"/>
                  </w:pPr>
                  <w:r>
                    <w:rPr>
                      <w:rFonts w:ascii="仿宋_GB2312" w:hAnsi="仿宋_GB2312" w:cs="仿宋_GB2312" w:eastAsia="仿宋_GB2312"/>
                      <w:sz w:val="24"/>
                      <w:color w:val="000000"/>
                    </w:rPr>
                    <w:t>26.支持验证被测系统可以通过RC(Reliable Connections)方式进行数据传输；</w:t>
                  </w:r>
                </w:p>
                <w:p>
                  <w:pPr>
                    <w:pStyle w:val="null3"/>
                    <w:jc w:val="both"/>
                  </w:pPr>
                  <w:r>
                    <w:rPr>
                      <w:rFonts w:ascii="仿宋_GB2312" w:hAnsi="仿宋_GB2312" w:cs="仿宋_GB2312" w:eastAsia="仿宋_GB2312"/>
                      <w:sz w:val="24"/>
                      <w:color w:val="000000"/>
                    </w:rPr>
                    <w:t>27.支持验证被测系统可以通过UD(Unreliable Datagram)方式进行数据传输；</w:t>
                  </w:r>
                </w:p>
                <w:p>
                  <w:pPr>
                    <w:pStyle w:val="null3"/>
                    <w:jc w:val="both"/>
                  </w:pPr>
                  <w:r>
                    <w:rPr>
                      <w:rFonts w:ascii="仿宋_GB2312" w:hAnsi="仿宋_GB2312" w:cs="仿宋_GB2312" w:eastAsia="仿宋_GB2312"/>
                      <w:sz w:val="24"/>
                      <w:color w:val="000000"/>
                    </w:rPr>
                    <w:t>28.支持验证被测系统发送的RoCEv2报文的IB.BTH头符合协议标准；</w:t>
                  </w:r>
                </w:p>
                <w:p>
                  <w:pPr>
                    <w:pStyle w:val="null3"/>
                    <w:jc w:val="both"/>
                  </w:pPr>
                  <w:r>
                    <w:rPr>
                      <w:rFonts w:ascii="仿宋_GB2312" w:hAnsi="仿宋_GB2312" w:cs="仿宋_GB2312" w:eastAsia="仿宋_GB2312"/>
                      <w:sz w:val="24"/>
                      <w:color w:val="000000"/>
                    </w:rPr>
                    <w:t>29.支持验证被测系统发送的RoCEv2报文的ICRC校验符合协议标准；</w:t>
                  </w:r>
                </w:p>
                <w:p>
                  <w:pPr>
                    <w:pStyle w:val="null3"/>
                    <w:jc w:val="both"/>
                  </w:pPr>
                  <w:r>
                    <w:rPr>
                      <w:rFonts w:ascii="仿宋_GB2312" w:hAnsi="仿宋_GB2312" w:cs="仿宋_GB2312" w:eastAsia="仿宋_GB2312"/>
                      <w:sz w:val="24"/>
                      <w:color w:val="000000"/>
                    </w:rPr>
                    <w:t>30.支持验证被测系统收到超过接收内存长度的数据后的行为符合标准要求, 被测系统在MR注册的内存区域被填满后，可以正确中断通信，阻止数据被写入越界的内存区域内，并且系统保持正常运行；</w:t>
                  </w:r>
                </w:p>
                <w:p>
                  <w:pPr>
                    <w:pStyle w:val="null3"/>
                    <w:jc w:val="both"/>
                  </w:pPr>
                  <w:r>
                    <w:rPr>
                      <w:rFonts w:ascii="仿宋_GB2312" w:hAnsi="仿宋_GB2312" w:cs="仿宋_GB2312" w:eastAsia="仿宋_GB2312"/>
                      <w:sz w:val="24"/>
                      <w:color w:val="000000"/>
                    </w:rPr>
                    <w:t>31.支持异常测试，包括不少于WRITE、READ、SEND-RECV越界测试，R_KEY错误测试，VA地址错误测试；</w:t>
                  </w:r>
                </w:p>
                <w:p>
                  <w:pPr>
                    <w:pStyle w:val="null3"/>
                    <w:jc w:val="both"/>
                  </w:pPr>
                  <w:r>
                    <w:rPr>
                      <w:rFonts w:ascii="仿宋_GB2312" w:hAnsi="仿宋_GB2312" w:cs="仿宋_GB2312" w:eastAsia="仿宋_GB2312"/>
                      <w:sz w:val="24"/>
                      <w:color w:val="000000"/>
                    </w:rPr>
                    <w:t>▲32.支持验证被测系统收到Write通信超过接收内存长度的数据后的行为符合标准要求, 被测系统在MR注册的内存区域被填满后，可以正确中断通信，阻止数据被写入越界的内存区域内，并且系统保持正常运行；</w:t>
                  </w:r>
                </w:p>
                <w:p>
                  <w:pPr>
                    <w:pStyle w:val="null3"/>
                    <w:jc w:val="both"/>
                  </w:pPr>
                  <w:r>
                    <w:rPr>
                      <w:rFonts w:ascii="仿宋_GB2312" w:hAnsi="仿宋_GB2312" w:cs="仿宋_GB2312" w:eastAsia="仿宋_GB2312"/>
                      <w:sz w:val="24"/>
                      <w:color w:val="000000"/>
                    </w:rPr>
                    <w:t>33.支持验证被测系统收到read操作响应数据超过接收内存长度的数据后的行为符合标准要求, 被测系统在MR注册的内存区域被填满后，可以正确中断通信，阻止数据被写入越界的内存区域内，并且系统保持正常运行；</w:t>
                  </w:r>
                </w:p>
                <w:p>
                  <w:pPr>
                    <w:pStyle w:val="null3"/>
                    <w:jc w:val="both"/>
                  </w:pPr>
                  <w:r>
                    <w:rPr>
                      <w:rFonts w:ascii="仿宋_GB2312" w:hAnsi="仿宋_GB2312" w:cs="仿宋_GB2312" w:eastAsia="仿宋_GB2312"/>
                      <w:sz w:val="24"/>
                      <w:color w:val="000000"/>
                    </w:rPr>
                    <w:t>34.支持验证被测系统和测试系统的PMTU不一致导致协商异常后的行为符合标准要求, 被测系统收到了比本端PMTU更大的通信请求，拒绝通信，并且系统保持正常运行；</w:t>
                  </w:r>
                </w:p>
                <w:p>
                  <w:pPr>
                    <w:pStyle w:val="null3"/>
                    <w:jc w:val="both"/>
                  </w:pPr>
                  <w:r>
                    <w:rPr>
                      <w:rFonts w:ascii="仿宋_GB2312" w:hAnsi="仿宋_GB2312" w:cs="仿宋_GB2312" w:eastAsia="仿宋_GB2312"/>
                      <w:sz w:val="24"/>
                      <w:color w:val="000000"/>
                    </w:rPr>
                    <w:t>▲35.支持验证被测系统收到错误QPN的数据后的行为符合标准要求, 被测系统收到目的QPN不存在或者与指向的本地RQ的P_key校验失败，直接丢弃该通信请求，并且系统保持正常运行；</w:t>
                  </w:r>
                </w:p>
                <w:p>
                  <w:pPr>
                    <w:pStyle w:val="null3"/>
                    <w:jc w:val="both"/>
                  </w:pPr>
                  <w:r>
                    <w:rPr>
                      <w:rFonts w:ascii="仿宋_GB2312" w:hAnsi="仿宋_GB2312" w:cs="仿宋_GB2312" w:eastAsia="仿宋_GB2312"/>
                      <w:sz w:val="24"/>
                      <w:color w:val="000000"/>
                    </w:rPr>
                    <w:t>▲36.支持验证被测系统收到错误R_Key的数据后的行为符合标准要求, 被测系统收到R_key错误的RDMA Read请求，发送NAK消息拒绝服务，并且系统保持正常运行；</w:t>
                  </w:r>
                </w:p>
                <w:p>
                  <w:pPr>
                    <w:pStyle w:val="null3"/>
                    <w:jc w:val="both"/>
                  </w:pPr>
                  <w:r>
                    <w:rPr>
                      <w:rFonts w:ascii="仿宋_GB2312" w:hAnsi="仿宋_GB2312" w:cs="仿宋_GB2312" w:eastAsia="仿宋_GB2312"/>
                      <w:sz w:val="24"/>
                      <w:color w:val="000000"/>
                    </w:rPr>
                    <w:t>37.支持验证被测系统收到错误VA地址的数据后的行为符合标准要求, 被测系统收到VA错误的RDMA Read请求，拒绝服务，并且系统保持正常运行；</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38.支持验证被测系统QP数量测试，可测试被测系统≥16K QP数量，支持通过二分法测得被测设备最大QP数量；</w:t>
                  </w:r>
                </w:p>
                <w:p>
                  <w:pPr>
                    <w:pStyle w:val="null3"/>
                    <w:jc w:val="both"/>
                  </w:pPr>
                  <w:r>
                    <w:rPr>
                      <w:rFonts w:ascii="仿宋_GB2312" w:hAnsi="仿宋_GB2312" w:cs="仿宋_GB2312" w:eastAsia="仿宋_GB2312"/>
                      <w:sz w:val="24"/>
                      <w:color w:val="000000"/>
                    </w:rPr>
                    <w:t>▲39.支持验证被测系统RDMA吞吐量测试，验证在不同QP数量下被测系统支持的最大吞吐量，支持时延测试，提供平均延迟、TP99时延、TP999时延等结果；</w:t>
                  </w:r>
                </w:p>
                <w:p>
                  <w:pPr>
                    <w:pStyle w:val="null3"/>
                    <w:jc w:val="both"/>
                  </w:pPr>
                  <w:r>
                    <w:rPr>
                      <w:rFonts w:ascii="仿宋_GB2312" w:hAnsi="仿宋_GB2312" w:cs="仿宋_GB2312" w:eastAsia="仿宋_GB2312"/>
                      <w:sz w:val="24"/>
                      <w:color w:val="000000"/>
                    </w:rPr>
                    <w:t>40.支持标准化工具测试（perftest等）</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41.100G网络测试仪支持PFC和ECN测试；支持DCQCN流量降速算法；</w:t>
                  </w:r>
                </w:p>
                <w:p>
                  <w:pPr>
                    <w:pStyle w:val="null3"/>
                    <w:jc w:val="both"/>
                  </w:pPr>
                  <w:r>
                    <w:rPr>
                      <w:rFonts w:ascii="仿宋_GB2312" w:hAnsi="仿宋_GB2312" w:cs="仿宋_GB2312" w:eastAsia="仿宋_GB2312"/>
                      <w:sz w:val="24"/>
                      <w:color w:val="000000"/>
                    </w:rPr>
                    <w:t>42.100G网络测试仪支持通过配置向导创建RoCEv2 Fabric测试场景；</w:t>
                  </w:r>
                </w:p>
                <w:p>
                  <w:pPr>
                    <w:pStyle w:val="null3"/>
                    <w:jc w:val="both"/>
                  </w:pPr>
                  <w:r>
                    <w:rPr>
                      <w:rFonts w:ascii="仿宋_GB2312" w:hAnsi="仿宋_GB2312" w:cs="仿宋_GB2312" w:eastAsia="仿宋_GB2312"/>
                      <w:sz w:val="24"/>
                      <w:color w:val="000000"/>
                    </w:rPr>
                    <w:t>43.100G网络测试仪支持时延测量精度≤2.5ns；</w:t>
                  </w:r>
                </w:p>
                <w:p>
                  <w:pPr>
                    <w:pStyle w:val="null3"/>
                    <w:jc w:val="both"/>
                  </w:pPr>
                  <w:r>
                    <w:rPr>
                      <w:rFonts w:ascii="仿宋_GB2312" w:hAnsi="仿宋_GB2312" w:cs="仿宋_GB2312" w:eastAsia="仿宋_GB2312"/>
                      <w:sz w:val="24"/>
                      <w:color w:val="000000"/>
                    </w:rPr>
                    <w:t>44.100G网络测试仪支持64-9000字节帧长范围；</w:t>
                  </w:r>
                </w:p>
                <w:p>
                  <w:pPr>
                    <w:pStyle w:val="null3"/>
                    <w:jc w:val="both"/>
                  </w:pPr>
                  <w:r>
                    <w:rPr>
                      <w:rFonts w:ascii="仿宋_GB2312" w:hAnsi="仿宋_GB2312" w:cs="仿宋_GB2312" w:eastAsia="仿宋_GB2312"/>
                      <w:sz w:val="24"/>
                      <w:color w:val="000000"/>
                    </w:rPr>
                    <w:t>45.100G网络测试仪支持基于流和基于端口的流量调度模式；</w:t>
                  </w:r>
                </w:p>
                <w:p>
                  <w:pPr>
                    <w:pStyle w:val="null3"/>
                    <w:jc w:val="both"/>
                  </w:pPr>
                  <w:r>
                    <w:rPr>
                      <w:rFonts w:ascii="仿宋_GB2312" w:hAnsi="仿宋_GB2312" w:cs="仿宋_GB2312" w:eastAsia="仿宋_GB2312"/>
                      <w:sz w:val="24"/>
                      <w:color w:val="000000"/>
                    </w:rPr>
                    <w:t>46.100G网络测试仪支持1ms高精度结果采样；</w:t>
                  </w:r>
                </w:p>
                <w:p>
                  <w:pPr>
                    <w:pStyle w:val="null3"/>
                    <w:jc w:val="both"/>
                  </w:pPr>
                  <w:r>
                    <w:rPr>
                      <w:rFonts w:ascii="仿宋_GB2312" w:hAnsi="仿宋_GB2312" w:cs="仿宋_GB2312" w:eastAsia="仿宋_GB2312"/>
                      <w:sz w:val="24"/>
                      <w:color w:val="000000"/>
                    </w:rPr>
                    <w:t>47.100G网络测试仪每个接口支持同时发送≥64k条流量和统计分析≥128k条流量。</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网卡驱动软件</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1.实现100G FPGA网卡的驱动功能，包括PCIe DMA驱动、RDMA驱动、以太网驱动等；适配用户定义的接口；</w:t>
                  </w:r>
                </w:p>
                <w:p>
                  <w:pPr>
                    <w:pStyle w:val="null3"/>
                    <w:jc w:val="both"/>
                  </w:pPr>
                  <w:r>
                    <w:rPr>
                      <w:rFonts w:ascii="仿宋_GB2312" w:hAnsi="仿宋_GB2312" w:cs="仿宋_GB2312" w:eastAsia="仿宋_GB2312"/>
                      <w:sz w:val="24"/>
                      <w:color w:val="000000"/>
                    </w:rPr>
                    <w:t>2.实现内核态Verbs库及驱动，提供标准Verbs接口形式提供给应用程序；</w:t>
                  </w:r>
                </w:p>
                <w:p>
                  <w:pPr>
                    <w:pStyle w:val="null3"/>
                    <w:jc w:val="both"/>
                  </w:pPr>
                  <w:r>
                    <w:rPr>
                      <w:rFonts w:ascii="仿宋_GB2312" w:hAnsi="仿宋_GB2312" w:cs="仿宋_GB2312" w:eastAsia="仿宋_GB2312"/>
                      <w:sz w:val="24"/>
                      <w:color w:val="000000"/>
                    </w:rPr>
                    <w:t>3.支持Linux操作系统内核态Verbs库及驱动；</w:t>
                  </w:r>
                </w:p>
                <w:p>
                  <w:pPr>
                    <w:pStyle w:val="null3"/>
                    <w:jc w:val="both"/>
                  </w:pPr>
                  <w:r>
                    <w:rPr>
                      <w:rFonts w:ascii="仿宋_GB2312" w:hAnsi="仿宋_GB2312" w:cs="仿宋_GB2312" w:eastAsia="仿宋_GB2312"/>
                      <w:sz w:val="24"/>
                      <w:color w:val="000000"/>
                    </w:rPr>
                    <w:t>4.支持网卡驱动软件开放源代码，支持复用与修改。</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RDMA测试卡</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▲1.基于板载FPGA芯片实现RDMA协议，LUT资源≤280000，BRAM资源≤29000Kb；</w:t>
                  </w:r>
                </w:p>
                <w:p>
                  <w:pPr>
                    <w:pStyle w:val="null3"/>
                    <w:jc w:val="both"/>
                  </w:pPr>
                  <w:r>
                    <w:rPr>
                      <w:rFonts w:ascii="仿宋_GB2312" w:hAnsi="仿宋_GB2312" w:cs="仿宋_GB2312" w:eastAsia="仿宋_GB2312"/>
                      <w:sz w:val="24"/>
                      <w:color w:val="000000"/>
                    </w:rPr>
                    <w:t>2.支持≥10G RDMA功能和普通以太网传输功能；</w:t>
                  </w:r>
                </w:p>
                <w:p>
                  <w:pPr>
                    <w:pStyle w:val="null3"/>
                    <w:jc w:val="both"/>
                  </w:pPr>
                  <w:r>
                    <w:rPr>
                      <w:rFonts w:ascii="仿宋_GB2312" w:hAnsi="仿宋_GB2312" w:cs="仿宋_GB2312" w:eastAsia="仿宋_GB2312"/>
                      <w:sz w:val="24"/>
                      <w:color w:val="000000"/>
                    </w:rPr>
                    <w:t>3.支持UDP协议卸载功能，提供类Socket的驱动接口；</w:t>
                  </w:r>
                </w:p>
                <w:p>
                  <w:pPr>
                    <w:pStyle w:val="null3"/>
                    <w:jc w:val="both"/>
                  </w:pPr>
                  <w:r>
                    <w:rPr>
                      <w:rFonts w:ascii="仿宋_GB2312" w:hAnsi="仿宋_GB2312" w:cs="仿宋_GB2312" w:eastAsia="仿宋_GB2312"/>
                      <w:sz w:val="24"/>
                      <w:color w:val="000000"/>
                    </w:rPr>
                    <w:t>4.支持≥2路物理接口，每一路接口速率都能达到≥1GB/s；</w:t>
                  </w:r>
                </w:p>
                <w:p>
                  <w:pPr>
                    <w:pStyle w:val="null3"/>
                    <w:jc w:val="both"/>
                  </w:pPr>
                  <w:r>
                    <w:rPr>
                      <w:rFonts w:ascii="仿宋_GB2312" w:hAnsi="仿宋_GB2312" w:cs="仿宋_GB2312" w:eastAsia="仿宋_GB2312"/>
                      <w:sz w:val="24"/>
                      <w:color w:val="000000"/>
                    </w:rPr>
                    <w:t>5.提供相应驱动，至少支持2种操作系统；</w:t>
                  </w:r>
                </w:p>
                <w:p>
                  <w:pPr>
                    <w:pStyle w:val="null3"/>
                    <w:jc w:val="both"/>
                  </w:pPr>
                  <w:r>
                    <w:rPr>
                      <w:rFonts w:ascii="仿宋_GB2312" w:hAnsi="仿宋_GB2312" w:cs="仿宋_GB2312" w:eastAsia="仿宋_GB2312"/>
                      <w:sz w:val="24"/>
                      <w:color w:val="000000"/>
                    </w:rPr>
                    <w:t>6.提供RDMA的功能测试，实现标准的Perftest测试；</w:t>
                  </w:r>
                </w:p>
                <w:p>
                  <w:pPr>
                    <w:pStyle w:val="null3"/>
                    <w:jc w:val="both"/>
                  </w:pPr>
                  <w:r>
                    <w:rPr>
                      <w:rFonts w:ascii="仿宋_GB2312" w:hAnsi="仿宋_GB2312" w:cs="仿宋_GB2312" w:eastAsia="仿宋_GB2312"/>
                      <w:sz w:val="24"/>
                      <w:color w:val="000000"/>
                    </w:rPr>
                    <w:t>7.提供UDP协议卸载的功能测试，提供基于UDP的测试接口。</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智能网卡原型</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1.提供</w:t>
                  </w:r>
                  <w:r>
                    <w:rPr>
                      <w:rFonts w:ascii="仿宋_GB2312" w:hAnsi="仿宋_GB2312" w:cs="仿宋_GB2312" w:eastAsia="仿宋_GB2312"/>
                      <w:sz w:val="24"/>
                      <w:color w:val="000000"/>
                    </w:rPr>
                    <w:t>≥</w:t>
                  </w:r>
                  <w:r>
                    <w:rPr>
                      <w:rFonts w:ascii="仿宋_GB2312" w:hAnsi="仿宋_GB2312" w:cs="仿宋_GB2312" w:eastAsia="仿宋_GB2312"/>
                      <w:sz w:val="24"/>
                      <w:color w:val="000000"/>
                    </w:rPr>
                    <w:t>2张智能网卡原型；</w:t>
                  </w:r>
                </w:p>
                <w:p>
                  <w:pPr>
                    <w:pStyle w:val="null3"/>
                    <w:jc w:val="both"/>
                  </w:pPr>
                  <w:r>
                    <w:rPr>
                      <w:rFonts w:ascii="仿宋_GB2312" w:hAnsi="仿宋_GB2312" w:cs="仿宋_GB2312" w:eastAsia="仿宋_GB2312"/>
                      <w:sz w:val="24"/>
                      <w:color w:val="000000"/>
                    </w:rPr>
                    <w:t>▲2.板载单核FPGA≥2.5M LEs；≥13K M20K memory blocks；≥250Mb M20K memory size；</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支持不少于</w:t>
                  </w:r>
                  <w:r>
                    <w:rPr>
                      <w:rFonts w:ascii="仿宋_GB2312" w:hAnsi="仿宋_GB2312" w:cs="仿宋_GB2312" w:eastAsia="仿宋_GB2312"/>
                      <w:sz w:val="24"/>
                      <w:color w:val="000000"/>
                    </w:rPr>
                    <w:t>400G网络互联能力</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1个400GE QSFP112接口（向下兼容200GE、100GE）；</w:t>
                  </w:r>
                </w:p>
                <w:p>
                  <w:pPr>
                    <w:pStyle w:val="null3"/>
                    <w:jc w:val="both"/>
                  </w:pPr>
                  <w:r>
                    <w:rPr>
                      <w:rFonts w:ascii="仿宋_GB2312" w:hAnsi="仿宋_GB2312" w:cs="仿宋_GB2312" w:eastAsia="仿宋_GB2312"/>
                      <w:sz w:val="24"/>
                      <w:color w:val="000000"/>
                    </w:rPr>
                    <w:t>▲4.支持PCIe Gen5x16（可支持x8双主机模式），向下兼容PCIe Gen4x16；</w:t>
                  </w:r>
                </w:p>
                <w:p>
                  <w:pPr>
                    <w:pStyle w:val="null3"/>
                    <w:jc w:val="both"/>
                  </w:pPr>
                  <w:r>
                    <w:rPr>
                      <w:rFonts w:ascii="仿宋_GB2312" w:hAnsi="仿宋_GB2312" w:cs="仿宋_GB2312" w:eastAsia="仿宋_GB2312"/>
                      <w:sz w:val="24"/>
                      <w:color w:val="000000"/>
                    </w:rPr>
                    <w:t>5.支持≥2GB DDR4 2666MT/s；支持≥256MB flash；</w:t>
                  </w:r>
                </w:p>
                <w:p>
                  <w:pPr>
                    <w:pStyle w:val="null3"/>
                    <w:jc w:val="both"/>
                  </w:pPr>
                  <w:r>
                    <w:rPr>
                      <w:rFonts w:ascii="仿宋_GB2312" w:hAnsi="仿宋_GB2312" w:cs="仿宋_GB2312" w:eastAsia="仿宋_GB2312"/>
                      <w:sz w:val="24"/>
                      <w:color w:val="000000"/>
                    </w:rPr>
                    <w:t>6.具备被动散热功能；</w:t>
                  </w:r>
                </w:p>
                <w:p>
                  <w:pPr>
                    <w:pStyle w:val="null3"/>
                    <w:jc w:val="both"/>
                  </w:pPr>
                  <w:r>
                    <w:rPr>
                      <w:rFonts w:ascii="仿宋_GB2312" w:hAnsi="仿宋_GB2312" w:cs="仿宋_GB2312" w:eastAsia="仿宋_GB2312"/>
                      <w:sz w:val="24"/>
                      <w:color w:val="000000"/>
                    </w:rPr>
                    <w:t>7.尺寸：半高半长单宽。</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RDMA逻辑测试平台</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★1.平台板载单核FPGA≥3700K系统逻辑单元；≥450Mb（Block RAM 90Mb+Ultra RAM 360Mb），支持对用户的逻辑进行硬件仿真加速</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▲2.支持逻辑算法内部信号100%可见，支持静态探针回读和动态扫描链回读两种波形获取方式</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3.支持C/C++、Verilog/SystemVerilog等多种类型Testbench，支持复用仿真软件的Testbench</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4.支持Verilog</w:t>
                  </w:r>
                  <w:r>
                    <w:rPr>
                      <w:rFonts w:ascii="仿宋_GB2312" w:hAnsi="仿宋_GB2312" w:cs="仿宋_GB2312" w:eastAsia="仿宋_GB2312"/>
                      <w:sz w:val="24"/>
                      <w:color w:val="000000"/>
                    </w:rPr>
                    <w:t>、</w:t>
                  </w:r>
                  <w:r>
                    <w:rPr>
                      <w:rFonts w:ascii="仿宋_GB2312" w:hAnsi="仿宋_GB2312" w:cs="仿宋_GB2312" w:eastAsia="仿宋_GB2312"/>
                      <w:sz w:val="24"/>
                      <w:color w:val="000000"/>
                    </w:rPr>
                    <w:t>SystemVerilog</w:t>
                  </w:r>
                  <w:r>
                    <w:rPr>
                      <w:rFonts w:ascii="仿宋_GB2312" w:hAnsi="仿宋_GB2312" w:cs="仿宋_GB2312" w:eastAsia="仿宋_GB2312"/>
                      <w:sz w:val="24"/>
                      <w:color w:val="000000"/>
                    </w:rPr>
                    <w:t>、</w:t>
                  </w:r>
                  <w:r>
                    <w:rPr>
                      <w:rFonts w:ascii="仿宋_GB2312" w:hAnsi="仿宋_GB2312" w:cs="仿宋_GB2312" w:eastAsia="仿宋_GB2312"/>
                      <w:sz w:val="24"/>
                      <w:color w:val="000000"/>
                    </w:rPr>
                    <w:t>EDIF等设计文件作为设计输入</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5.支持CTB、SVTB、UVM等验证平台</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6.支持自动编译功能，自动生成软硬件之间时钟，复位，以及数据交互通信接口</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7.支持第三方逻辑仿真软件，包括VCS、QuestaSIM等</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8.支持AMBA系列总线协议AXI、AXI_lite、AHB、APB，Stream、IIC等事务级处理器</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▲9.支持一次20Kbit位宽信号且深度不限的波形数据获取，不占用FPGA内部的RAM资源，波形文件实时dump到上位机中</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10.支持两种以上操作系统</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11.支持硬件断点、故障注入等debug功能。</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合同签订后45个日历日内供货并配置到位。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合同签订后，供应商开具合同金额80%银行保函，采购人收到银行保函正本后（银行保函有效期：自开具之日起6个月）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待验收合格后，采购人退还银行保函正本。凭成交供应商开具全额增值税专用发票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1.采购人使用单位收货后5个日历日内完成初验。 2.采购人使用单位初验合格后提出验收申请，学校相关部门根据使用单位技术验收结果，组织有关专家进行货物的最终验收。 3.其他要求详见合同文本。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1.质量保证期：验收合格之日起3年。设备故障报修后48小时内响应，质保期后供货商应负责上门维修。 2.售后服务要求：即时响应（包括电话响应）；电话响应无法解决48小时内到达现场。修复时间24小时内解决；如在48小时内无法修复，则提供部件冗余服务或采取应急措施，提供相同产品或不低于故障产品规格档次的备用产品供采购人使用，以确保货物的正常使用。 3.供应商须免费提供一次设备移机服务。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保证金注意事项：（1）投标保证金须从投标人户名支付，如从个人户名或非投标人户名支付，将被拒绝，视为自动放弃投标权利（该个人是投标人的情形除外）；投标保证金缴纳时间：开标时间之前；以保函形式交纳投标保证金的，投标人应在投标截止时间前将保函扫描成清晰的PDF文件，发送至邮箱2973608682@qq.com（邮件命名：项目名称+项目编号）；投标人应在响应文件中附保函复印件。保函必须由具有开具投标保函资格的单位开具；若投标人违约，开具保函单位承担连带责任；（2）投标保证金的提交金额、时间不满足采购文件要求的，投标无效；（3）投标保证金以采购代理机构到账凭证为准，投标人无需更换交纳凭证；（4）未按指定账户提交的，代理机构将退回，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投标人为向招标人提供相关货物的法人或其他组织；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是否接受进口产品投标</w:t>
            </w:r>
          </w:p>
        </w:tc>
        <w:tc>
          <w:tcPr>
            <w:tcW w:type="dxa" w:w="3322"/>
          </w:tcPr>
          <w:p>
            <w:pPr>
              <w:pStyle w:val="null3"/>
            </w:pPr>
            <w:r>
              <w:rPr>
                <w:rFonts w:ascii="仿宋_GB2312" w:hAnsi="仿宋_GB2312" w:cs="仿宋_GB2312" w:eastAsia="仿宋_GB2312"/>
              </w:rPr>
              <w:t>本项目未做进口论证，不接受进口产品的投标。</w:t>
            </w:r>
          </w:p>
        </w:tc>
        <w:tc>
          <w:tcPr>
            <w:tcW w:type="dxa" w:w="1661"/>
          </w:tcPr>
          <w:p>
            <w:pPr>
              <w:pStyle w:val="null3"/>
            </w:pPr>
            <w:r>
              <w:rPr>
                <w:rFonts w:ascii="仿宋_GB2312" w:hAnsi="仿宋_GB2312" w:cs="仿宋_GB2312" w:eastAsia="仿宋_GB2312"/>
              </w:rPr>
              <w:t>开标一览表 标的清单</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5）其他需要落实的政府采购政策。 6）本项目不专门面向中小企业采购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投标文件是否按招标文件要求签署、盖章的</w:t>
            </w:r>
          </w:p>
        </w:tc>
        <w:tc>
          <w:tcPr>
            <w:tcW w:type="dxa" w:w="1661"/>
          </w:tcPr>
          <w:p>
            <w:pPr>
              <w:pStyle w:val="null3"/>
            </w:pPr>
            <w:r>
              <w:rPr>
                <w:rFonts w:ascii="仿宋_GB2312" w:hAnsi="仿宋_GB2312" w:cs="仿宋_GB2312" w:eastAsia="仿宋_GB2312"/>
              </w:rPr>
              <w:t>开标一览表 业绩.docx 分项报价清单.docx 中小企业声明函 商务应答表 备品备件清单.docx 技术条款响应偏离表.docx 投标人应授权合法的人员参加本项目招标活动全过程.docx 技术培训方案.docx 投标函 残疾人福利性单位声明函 系统集成方案.docx 组织保证措施.docx 标的清单 售后阶段的质量保证措施.docx 投标文件封面 资格证明材料.docx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投标报价未超过招标文件中规定的最高限价的</w:t>
            </w:r>
          </w:p>
        </w:tc>
        <w:tc>
          <w:tcPr>
            <w:tcW w:type="dxa" w:w="1661"/>
          </w:tcPr>
          <w:p>
            <w:pPr>
              <w:pStyle w:val="null3"/>
            </w:pPr>
            <w:r>
              <w:rPr>
                <w:rFonts w:ascii="仿宋_GB2312" w:hAnsi="仿宋_GB2312" w:cs="仿宋_GB2312" w:eastAsia="仿宋_GB2312"/>
              </w:rPr>
              <w:t>开标一览表 分项报价清单.docx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开标一览表 业绩.docx 分项报价清单.docx 中小企业声明函 商务应答表 备品备件清单.docx 技术条款响应偏离表.docx 投标人应授权合法的人员参加本项目招标活动全过程.docx 技术培训方案.docx 投标函 残疾人福利性单位声明函 系统集成方案.docx 组织保证措施.docx 标的清单 售后阶段的质量保证措施.docx 投标文件封面 资格证明材料.docx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开标一览表 业绩.docx 分项报价清单.docx 中小企业声明函 商务应答表 备品备件清单.docx 技术条款响应偏离表.docx 投标人应授权合法的人员参加本项目招标活动全过程.docx 技术培训方案.docx 投标函 残疾人福利性单位声明函 系统集成方案.docx 组织保证措施.docx 标的清单 售后阶段的质量保证措施.docx 投标文件封面 资格证明材料.docx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商务应答表 技术条款响应偏离表.docx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投标人应授权合法的人员参加本项目招标活动全过程</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投标人应授权合法的人员参加本项目招标活动全过程.docx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 （1）完全满足采购技术要求的，得40分；标记“★”的参数需求为实质性要求，投标人必须响应并满足的参数需求，否则按无效投标处理。 （2）技术参数标记为“▲”为重要技术条款，每负偏离一项扣2分，共15项； （3）未标记“▲”及“★”技术指标每负偏离一项扣1分，扣完为止。 备注：标记“★”及“▲”的技术指标至少须提供下列证明材料之一予以佐证：①产品说明书；②产品检测报告；③产品彩页；④产品截图；⑤官方网页截图，投标人应在投标文件中给出明确的证明材料索引，未提供有效证明材料或证明材料中内容与所填报指标不一致的或缺项、漏项的，将视为此条不满足，视同负偏离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系统集成方案①方案的合理性</w:t>
            </w:r>
          </w:p>
        </w:tc>
        <w:tc>
          <w:tcPr>
            <w:tcW w:type="dxa" w:w="2492"/>
          </w:tcPr>
          <w:p>
            <w:pPr>
              <w:pStyle w:val="null3"/>
            </w:pPr>
            <w:r>
              <w:rPr>
                <w:rFonts w:ascii="仿宋_GB2312" w:hAnsi="仿宋_GB2312" w:cs="仿宋_GB2312" w:eastAsia="仿宋_GB2312"/>
              </w:rPr>
              <w:t>①方案的合理性 技术方案科学、合理，内容针对性强，图文并茂阐述了集成内容和方式，完全能够保证项目质量的得7.1-8分； 技术方案科学、合理，内容针对性强，文字阐述了集成内容和方式，内容有一定的可行性及针对性，能够保证项目质量的6.1-7分； 技术方案相对科学、合理，内容简单阐述了集成内容和方式，基本上能够保证项目质量的5.1-6分； 技术方案有一定的科学性、合理性，集成内容和方式稍有欠缺，但能够保证项目质量的4.1-5分； 技术方案科学性、合理一般，集成内容和方式存在小部分欠缺，但基本上能够保证项目质量的3.1-4分； 技术方案简单，集成内容和方式存在缺项、漏项，基本上能够保证项目质量的2.1-3分； 技术方案简单、粗略，集成内容和方式存在重大缺项、漏项的1.1-2分； 方案不合理，内容不完整，前后集成逻辑不合理，存在严重缺项、漏项，可行性不足的得0-1分；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系统集成方案.docx</w:t>
            </w:r>
          </w:p>
        </w:tc>
      </w:tr>
      <w:tr>
        <w:tc>
          <w:tcPr>
            <w:tcW w:type="dxa" w:w="831"/>
            <w:vMerge/>
          </w:tcPr>
          <w:p/>
        </w:tc>
        <w:tc>
          <w:tcPr>
            <w:tcW w:type="dxa" w:w="1661"/>
          </w:tcPr>
          <w:p>
            <w:pPr>
              <w:pStyle w:val="null3"/>
            </w:pPr>
            <w:r>
              <w:rPr>
                <w:rFonts w:ascii="仿宋_GB2312" w:hAnsi="仿宋_GB2312" w:cs="仿宋_GB2312" w:eastAsia="仿宋_GB2312"/>
              </w:rPr>
              <w:t>系统集成方案②方案的完整性</w:t>
            </w:r>
          </w:p>
        </w:tc>
        <w:tc>
          <w:tcPr>
            <w:tcW w:type="dxa" w:w="2492"/>
          </w:tcPr>
          <w:p>
            <w:pPr>
              <w:pStyle w:val="null3"/>
            </w:pPr>
            <w:r>
              <w:rPr>
                <w:rFonts w:ascii="仿宋_GB2312" w:hAnsi="仿宋_GB2312" w:cs="仿宋_GB2312" w:eastAsia="仿宋_GB2312"/>
              </w:rPr>
              <w:t>②方案的完整性 方案完整，完全覆盖招标技术要求，包含软硬件详细说明、系统调试等全流程内容，无遗漏项的得3.1-4分； 方案较完整，覆盖招标技术要求主要环节，包含软硬件说明及系统调试内容，个别细节略有不足的得2.1-3分； 方案基本完整，覆盖招标技术要求核心内容，但存在部分环节缺失的得1.1-2分； 方案不完整，仅覆盖招标技术要求部分内容，多个环节存在明显缺失的得0.1-1分；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系统集成方案.docx</w:t>
            </w:r>
          </w:p>
        </w:tc>
      </w:tr>
      <w:tr>
        <w:tc>
          <w:tcPr>
            <w:tcW w:type="dxa" w:w="831"/>
            <w:vMerge/>
          </w:tcPr>
          <w:p/>
        </w:tc>
        <w:tc>
          <w:tcPr>
            <w:tcW w:type="dxa" w:w="1661"/>
          </w:tcPr>
          <w:p>
            <w:pPr>
              <w:pStyle w:val="null3"/>
            </w:pPr>
            <w:r>
              <w:rPr>
                <w:rFonts w:ascii="仿宋_GB2312" w:hAnsi="仿宋_GB2312" w:cs="仿宋_GB2312" w:eastAsia="仿宋_GB2312"/>
              </w:rPr>
              <w:t>系统集成方案③方案的技术先进性</w:t>
            </w:r>
          </w:p>
        </w:tc>
        <w:tc>
          <w:tcPr>
            <w:tcW w:type="dxa" w:w="2492"/>
          </w:tcPr>
          <w:p>
            <w:pPr>
              <w:pStyle w:val="null3"/>
            </w:pPr>
            <w:r>
              <w:rPr>
                <w:rFonts w:ascii="仿宋_GB2312" w:hAnsi="仿宋_GB2312" w:cs="仿宋_GB2312" w:eastAsia="仿宋_GB2312"/>
              </w:rPr>
              <w:t>③方案的技术先进性 采用行业前沿技术架构，兼容未来3年以上技术趋势，硬件性能优势显著，软件易用，整体产品兼容性好的得1.1-2分； 技术架构成熟稳定，仅能满足当前项目需求的得0-1分；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系统集成方案.docx</w:t>
            </w:r>
          </w:p>
        </w:tc>
      </w:tr>
      <w:tr>
        <w:tc>
          <w:tcPr>
            <w:tcW w:type="dxa" w:w="831"/>
            <w:vMerge/>
          </w:tcPr>
          <w:p/>
        </w:tc>
        <w:tc>
          <w:tcPr>
            <w:tcW w:type="dxa" w:w="1661"/>
          </w:tcPr>
          <w:p>
            <w:pPr>
              <w:pStyle w:val="null3"/>
            </w:pPr>
            <w:r>
              <w:rPr>
                <w:rFonts w:ascii="仿宋_GB2312" w:hAnsi="仿宋_GB2312" w:cs="仿宋_GB2312" w:eastAsia="仿宋_GB2312"/>
              </w:rPr>
              <w:t>系统集成方案④系统可扩展性升级方案</w:t>
            </w:r>
          </w:p>
        </w:tc>
        <w:tc>
          <w:tcPr>
            <w:tcW w:type="dxa" w:w="2492"/>
          </w:tcPr>
          <w:p>
            <w:pPr>
              <w:pStyle w:val="null3"/>
            </w:pPr>
            <w:r>
              <w:rPr>
                <w:rFonts w:ascii="仿宋_GB2312" w:hAnsi="仿宋_GB2312" w:cs="仿宋_GB2312" w:eastAsia="仿宋_GB2312"/>
              </w:rPr>
              <w:t>④系统可扩展性升级方案 可扩展性升级方案详细完整，内容可行性、针对性强，能够保证项目顺利实施的得1.1-2分； 可扩展性升级方案相对简单，内容逻辑稍有欠缺的得0-1分；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系统集成方案.docx</w:t>
            </w:r>
          </w:p>
        </w:tc>
      </w:tr>
      <w:tr>
        <w:tc>
          <w:tcPr>
            <w:tcW w:type="dxa" w:w="831"/>
            <w:vMerge/>
          </w:tcPr>
          <w:p/>
        </w:tc>
        <w:tc>
          <w:tcPr>
            <w:tcW w:type="dxa" w:w="1661"/>
          </w:tcPr>
          <w:p>
            <w:pPr>
              <w:pStyle w:val="null3"/>
            </w:pPr>
            <w:r>
              <w:rPr>
                <w:rFonts w:ascii="仿宋_GB2312" w:hAnsi="仿宋_GB2312" w:cs="仿宋_GB2312" w:eastAsia="仿宋_GB2312"/>
              </w:rPr>
              <w:t>组织保证措施①组织机构方案</w:t>
            </w:r>
          </w:p>
        </w:tc>
        <w:tc>
          <w:tcPr>
            <w:tcW w:type="dxa" w:w="2492"/>
          </w:tcPr>
          <w:p>
            <w:pPr>
              <w:pStyle w:val="null3"/>
            </w:pPr>
            <w:r>
              <w:rPr>
                <w:rFonts w:ascii="仿宋_GB2312" w:hAnsi="仿宋_GB2312" w:cs="仿宋_GB2312" w:eastAsia="仿宋_GB2312"/>
              </w:rPr>
              <w:t>1.组织机构：组织机构完备，框架结构完整，运行机制有效的得0-1分；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组织保证措施②专业服务团队情况</w:t>
            </w:r>
          </w:p>
        </w:tc>
        <w:tc>
          <w:tcPr>
            <w:tcW w:type="dxa" w:w="2492"/>
          </w:tcPr>
          <w:p>
            <w:pPr>
              <w:pStyle w:val="null3"/>
            </w:pPr>
            <w:r>
              <w:rPr>
                <w:rFonts w:ascii="仿宋_GB2312" w:hAnsi="仿宋_GB2312" w:cs="仿宋_GB2312" w:eastAsia="仿宋_GB2312"/>
              </w:rPr>
              <w:t>2.专业服务团队情况：服务团队配备齐全，人员经验与项目实施具有很强的切合程度，具有针对性、可行性得0-1分。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组织保证措施③有关管理制度</w:t>
            </w:r>
          </w:p>
        </w:tc>
        <w:tc>
          <w:tcPr>
            <w:tcW w:type="dxa" w:w="2492"/>
          </w:tcPr>
          <w:p>
            <w:pPr>
              <w:pStyle w:val="null3"/>
            </w:pPr>
            <w:r>
              <w:rPr>
                <w:rFonts w:ascii="仿宋_GB2312" w:hAnsi="仿宋_GB2312" w:cs="仿宋_GB2312" w:eastAsia="仿宋_GB2312"/>
              </w:rPr>
              <w:t>3.有关管理制度：管理制度完善，与项目实施具有很强的切合程度，具有针对性、可行性得0-1分。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技术培训方案①培训大纲</w:t>
            </w:r>
          </w:p>
        </w:tc>
        <w:tc>
          <w:tcPr>
            <w:tcW w:type="dxa" w:w="2492"/>
          </w:tcPr>
          <w:p>
            <w:pPr>
              <w:pStyle w:val="null3"/>
            </w:pPr>
            <w:r>
              <w:rPr>
                <w:rFonts w:ascii="仿宋_GB2312" w:hAnsi="仿宋_GB2312" w:cs="仿宋_GB2312" w:eastAsia="仿宋_GB2312"/>
              </w:rPr>
              <w:t>提供培训大纲，根据培训大纲内容得0-1分。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技术培训方案.docx</w:t>
            </w:r>
          </w:p>
        </w:tc>
      </w:tr>
      <w:tr>
        <w:tc>
          <w:tcPr>
            <w:tcW w:type="dxa" w:w="831"/>
            <w:vMerge/>
          </w:tcPr>
          <w:p/>
        </w:tc>
        <w:tc>
          <w:tcPr>
            <w:tcW w:type="dxa" w:w="1661"/>
          </w:tcPr>
          <w:p>
            <w:pPr>
              <w:pStyle w:val="null3"/>
            </w:pPr>
            <w:r>
              <w:rPr>
                <w:rFonts w:ascii="仿宋_GB2312" w:hAnsi="仿宋_GB2312" w:cs="仿宋_GB2312" w:eastAsia="仿宋_GB2312"/>
              </w:rPr>
              <w:t>技术培训方案②设备使用培训方案</w:t>
            </w:r>
          </w:p>
        </w:tc>
        <w:tc>
          <w:tcPr>
            <w:tcW w:type="dxa" w:w="2492"/>
          </w:tcPr>
          <w:p>
            <w:pPr>
              <w:pStyle w:val="null3"/>
            </w:pPr>
            <w:r>
              <w:rPr>
                <w:rFonts w:ascii="仿宋_GB2312" w:hAnsi="仿宋_GB2312" w:cs="仿宋_GB2312" w:eastAsia="仿宋_GB2312"/>
              </w:rPr>
              <w:t>提供培训设备使用方案，根据设备使用培训方案内容得0-1分。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技术培训方案.docx</w:t>
            </w:r>
          </w:p>
        </w:tc>
      </w:tr>
      <w:tr>
        <w:tc>
          <w:tcPr>
            <w:tcW w:type="dxa" w:w="831"/>
            <w:vMerge/>
          </w:tcPr>
          <w:p/>
        </w:tc>
        <w:tc>
          <w:tcPr>
            <w:tcW w:type="dxa" w:w="1661"/>
          </w:tcPr>
          <w:p>
            <w:pPr>
              <w:pStyle w:val="null3"/>
            </w:pPr>
            <w:r>
              <w:rPr>
                <w:rFonts w:ascii="仿宋_GB2312" w:hAnsi="仿宋_GB2312" w:cs="仿宋_GB2312" w:eastAsia="仿宋_GB2312"/>
              </w:rPr>
              <w:t>技术培训方案③操作维护及排除故障方法</w:t>
            </w:r>
          </w:p>
        </w:tc>
        <w:tc>
          <w:tcPr>
            <w:tcW w:type="dxa" w:w="2492"/>
          </w:tcPr>
          <w:p>
            <w:pPr>
              <w:pStyle w:val="null3"/>
            </w:pPr>
            <w:r>
              <w:rPr>
                <w:rFonts w:ascii="仿宋_GB2312" w:hAnsi="仿宋_GB2312" w:cs="仿宋_GB2312" w:eastAsia="仿宋_GB2312"/>
              </w:rPr>
              <w:t>提供操作维护及排除故障方法，根据培训内容得0-1分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技术培训方案.docx</w:t>
            </w:r>
          </w:p>
        </w:tc>
      </w:tr>
      <w:tr>
        <w:tc>
          <w:tcPr>
            <w:tcW w:type="dxa" w:w="831"/>
            <w:vMerge/>
          </w:tcPr>
          <w:p/>
        </w:tc>
        <w:tc>
          <w:tcPr>
            <w:tcW w:type="dxa" w:w="1661"/>
          </w:tcPr>
          <w:p>
            <w:pPr>
              <w:pStyle w:val="null3"/>
            </w:pPr>
            <w:r>
              <w:rPr>
                <w:rFonts w:ascii="仿宋_GB2312" w:hAnsi="仿宋_GB2312" w:cs="仿宋_GB2312" w:eastAsia="仿宋_GB2312"/>
              </w:rPr>
              <w:t>售后阶段的质量保证措施①售后服务机构及人员配置方案：</w:t>
            </w:r>
          </w:p>
        </w:tc>
        <w:tc>
          <w:tcPr>
            <w:tcW w:type="dxa" w:w="2492"/>
          </w:tcPr>
          <w:p>
            <w:pPr>
              <w:pStyle w:val="null3"/>
            </w:pPr>
            <w:r>
              <w:rPr>
                <w:rFonts w:ascii="仿宋_GB2312" w:hAnsi="仿宋_GB2312" w:cs="仿宋_GB2312" w:eastAsia="仿宋_GB2312"/>
              </w:rPr>
              <w:t>具备投标人自己的服务网点，提供专职售后服务人员，完全满足本项目需求，得0-1分；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售后阶段的质量保证措施.docx</w:t>
            </w:r>
          </w:p>
        </w:tc>
      </w:tr>
      <w:tr>
        <w:tc>
          <w:tcPr>
            <w:tcW w:type="dxa" w:w="831"/>
            <w:vMerge/>
          </w:tcPr>
          <w:p/>
        </w:tc>
        <w:tc>
          <w:tcPr>
            <w:tcW w:type="dxa" w:w="1661"/>
          </w:tcPr>
          <w:p>
            <w:pPr>
              <w:pStyle w:val="null3"/>
            </w:pPr>
            <w:r>
              <w:rPr>
                <w:rFonts w:ascii="仿宋_GB2312" w:hAnsi="仿宋_GB2312" w:cs="仿宋_GB2312" w:eastAsia="仿宋_GB2312"/>
              </w:rPr>
              <w:t>售后阶段的质量保证措施②提供保修期外至全寿命周期内零配件及备品备件供应方案：</w:t>
            </w:r>
          </w:p>
        </w:tc>
        <w:tc>
          <w:tcPr>
            <w:tcW w:type="dxa" w:w="2492"/>
          </w:tcPr>
          <w:p>
            <w:pPr>
              <w:pStyle w:val="null3"/>
            </w:pPr>
            <w:r>
              <w:rPr>
                <w:rFonts w:ascii="仿宋_GB2312" w:hAnsi="仿宋_GB2312" w:cs="仿宋_GB2312" w:eastAsia="仿宋_GB2312"/>
              </w:rPr>
              <w:t>提供的零配件及备品备件供应方案包括但不限于供应时间、安装更换方式，方案详细完善，完全切合本项目实际需求的得0-1分；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售后阶段的质量保证措施.docx</w:t>
            </w:r>
          </w:p>
        </w:tc>
      </w:tr>
      <w:tr>
        <w:tc>
          <w:tcPr>
            <w:tcW w:type="dxa" w:w="831"/>
            <w:vMerge/>
          </w:tcPr>
          <w:p/>
        </w:tc>
        <w:tc>
          <w:tcPr>
            <w:tcW w:type="dxa" w:w="1661"/>
          </w:tcPr>
          <w:p>
            <w:pPr>
              <w:pStyle w:val="null3"/>
            </w:pPr>
            <w:r>
              <w:rPr>
                <w:rFonts w:ascii="仿宋_GB2312" w:hAnsi="仿宋_GB2312" w:cs="仿宋_GB2312" w:eastAsia="仿宋_GB2312"/>
              </w:rPr>
              <w:t>售后阶段的质量保证措施③提供所投产品制造商的售后服务承诺函：</w:t>
            </w:r>
          </w:p>
        </w:tc>
        <w:tc>
          <w:tcPr>
            <w:tcW w:type="dxa" w:w="2492"/>
          </w:tcPr>
          <w:p>
            <w:pPr>
              <w:pStyle w:val="null3"/>
            </w:pPr>
            <w:r>
              <w:rPr>
                <w:rFonts w:ascii="仿宋_GB2312" w:hAnsi="仿宋_GB2312" w:cs="仿宋_GB2312" w:eastAsia="仿宋_GB2312"/>
              </w:rPr>
              <w:t>根据投标人提供售后服务承诺函的内容得0-1分。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售后阶段的质量保证措施.docx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投标人应在投标文件中提供该投标人或拟投产品自2023年2月1日起至今的类似业绩证明材料，每提供一份业绩合同的得1分，满分为5分，不得重复累计。 注：以合同签订时间为准，投标人应在投标文件中提供业绩合同复印件或扫描件且加盖单位公章。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初审合格的投标文件，其投标报价为有效投标价。评标基准价：即满足招标文件要求且投标价格最低的投标报价为评标基准价。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投标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详见附件：技术培训方案.docx</w:t>
      </w:r>
    </w:p>
    <w:p>
      <w:pPr>
        <w:pStyle w:val="null3"/>
        <w:ind w:firstLine="960"/>
      </w:pPr>
      <w:r>
        <w:rPr>
          <w:rFonts w:ascii="仿宋_GB2312" w:hAnsi="仿宋_GB2312" w:cs="仿宋_GB2312" w:eastAsia="仿宋_GB2312"/>
        </w:rPr>
        <w:t>详见附件：备品备件清单.docx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详见附件：售后阶段的质量保证措施.docx</w:t>
      </w:r>
    </w:p>
    <w:p>
      <w:pPr>
        <w:pStyle w:val="null3"/>
        <w:ind w:firstLine="960"/>
      </w:pPr>
      <w:r>
        <w:rPr>
          <w:rFonts w:ascii="仿宋_GB2312" w:hAnsi="仿宋_GB2312" w:cs="仿宋_GB2312" w:eastAsia="仿宋_GB2312"/>
        </w:rPr>
        <w:t>详见附件：投标人应授权合法的人员参加本项目招标活动全过程.docx</w:t>
      </w:r>
    </w:p>
    <w:p>
      <w:pPr>
        <w:pStyle w:val="null3"/>
        <w:ind w:firstLine="960"/>
      </w:pPr>
      <w:r>
        <w:rPr>
          <w:rFonts w:ascii="仿宋_GB2312" w:hAnsi="仿宋_GB2312" w:cs="仿宋_GB2312" w:eastAsia="仿宋_GB2312"/>
        </w:rPr>
        <w:t>详见附件：系统集成方案.docx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详见附件：组织保证措施.docx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