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版本号：JRZC-202511920260225001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高质量示范项目-慢性肾脏病一体化管理建设项目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JRZC-2025119</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陕西炬荣招标代理有限公司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陕西炬荣招标代理有限公司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高质量示范项目-慢性肾脏病一体化管理建设项目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JRZC-2025119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高质量示范项目-慢性肾脏病一体化管理建设项目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CKD全程管理中心信息化建设-实现CKD诊治的全面信息化管理，提升区域防治效率。通过部署信息化系统，自动记录患者每次就诊的相关数据，实现患者的全流程管理，并完成治疗数据的自动上报。通过数据统计和分析，对系统持续进行质控和流程优化。实现区县级医院的肾内科接入信息化系统，互联互通患者数据，指导县级医院管理中心建设，初步形成区域CKD研究管理网络。设计患者移动端，为患者提供从住院到出院、居家的及时有效全程化个案信息管理。构建科研基础设施，提升CKD诊治的理论与实践能力。 建设肾内科临床科研数据库，收集数据用于科学研究，探索CKD的早期干预方法、最佳治疗时机、发病机制及预后影响因素等。针对本地区CKD特殊发病机制和影响因素，提出早期干预措施，控制区域内发病率。利用科研成果指导CKD诊治工作，优化治疗效果，改善患者预后，降低发病率，专病数据库计算服务器提升运算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采购包1（高质量示范项目-延安大学附属医院慢性肾脏病一体化管理建设项目）：属于专门面向中小企业采购。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1、营业执照：具有独立承担民事责任能力的法人或其他组织，提供合法有效的统一社会信用代码的营业执照（附年度报告书）或事业单位法人证书等国家规定的相关证明，自然人参与的提供其身份证明；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2、法定代表人授权书：法定代表人授权书（附法定代表人身份证复印件）及被授权人身份证（法定代表人直接参加只须提供法定代表人身份证）；</w:t>
      </w:r>
    </w:p>
    <w:p>
      <w:pPr>
        <w:pStyle w:val="null3"/>
      </w:pPr>
      <w:r>
        <w:rPr>
          <w:rFonts w:ascii="仿宋_GB2312" w:hAnsi="仿宋_GB2312" w:cs="仿宋_GB2312" w:eastAsia="仿宋_GB2312"/>
        </w:rPr>
        <w:t>3、税收缴纳证明：提供2025年度03月至2026年度03月份任意一个月份的缴税凭证或依法免税的供应商应提供相关文件证明；</w:t>
      </w:r>
    </w:p>
    <w:p>
      <w:pPr>
        <w:pStyle w:val="null3"/>
      </w:pPr>
      <w:r>
        <w:rPr>
          <w:rFonts w:ascii="仿宋_GB2312" w:hAnsi="仿宋_GB2312" w:cs="仿宋_GB2312" w:eastAsia="仿宋_GB2312"/>
        </w:rPr>
        <w:t>4、社会保障资金缴纳证明：提供2025年03月份至2026年03月份任意一个月份的社会保障资金缴存证明或社保机构开具的社会保险参保缴费情况证明；依法不需要缴纳社会保障资金的应提供相关文件证明；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5、财务状况证明：供应商须提供2024或2025年度的财务审计报告(成立时间至提交响应文件截止时间不足一年的可提供成立后任意时段的资产负债表)，或其基本存款账户开户银行出具的资信证明及基本存款账户开户信息；</w:t>
      </w:r>
    </w:p>
    <w:p>
      <w:pPr>
        <w:pStyle w:val="null3"/>
      </w:pPr>
      <w:r>
        <w:rPr>
          <w:rFonts w:ascii="仿宋_GB2312" w:hAnsi="仿宋_GB2312" w:cs="仿宋_GB2312" w:eastAsia="仿宋_GB2312"/>
        </w:rPr>
        <w:t>6、信用记录：提供《供应商信用记录书面声明函》（按格式填写）经查，投标单位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p>
      <w:pPr>
        <w:pStyle w:val="null3"/>
      </w:pPr>
      <w:r>
        <w:rPr>
          <w:rFonts w:ascii="仿宋_GB2312" w:hAnsi="仿宋_GB2312" w:cs="仿宋_GB2312" w:eastAsia="仿宋_GB2312"/>
        </w:rPr>
        <w:t>7、中小企业声明函：供应商需提供中小企业声明函；</w:t>
      </w:r>
    </w:p>
    <w:p>
      <w:pPr>
        <w:pStyle w:val="null3"/>
      </w:pPr>
      <w:r>
        <w:rPr>
          <w:rFonts w:ascii="仿宋_GB2312" w:hAnsi="仿宋_GB2312" w:cs="仿宋_GB2312" w:eastAsia="仿宋_GB2312"/>
        </w:rPr>
        <w:t>8、本项目不接受联合体磋商：提供非联合体投标声明。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延安大学附属医院经办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陕西炬荣招标代理有限公司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延安市新区大都荟B座501室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0911-8887276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依据《国家发展改革委关于进一步放开建设项目专业服务价格的通知》发改价格〔2015〕299号参照原国家计委颁布的《招标代理服务收费管理暂行办法》（计价格[2002]1980号）及发改办价格[2003]857号文件的规定标准收取，由成交供应商在领取成交通知书前向采购代理机构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陕西炬荣招标代理有限公司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陕西炬荣招标代理有限公司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陕西炬荣招标代理有限公司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满足三级等保要求、满足合同要求、满足磋商文件技术要求、甲乙方监理方通过的实施方案及进度计划、项目过程资料的完整性、甲方项目管理相关要求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联系电话：0911-8887276</w:t>
      </w:r>
    </w:p>
    <w:p>
      <w:pPr>
        <w:pStyle w:val="null3"/>
      </w:pPr>
      <w:r>
        <w:rPr>
          <w:rFonts w:ascii="仿宋_GB2312" w:hAnsi="仿宋_GB2312" w:cs="仿宋_GB2312" w:eastAsia="仿宋_GB2312"/>
        </w:rPr>
        <w:t>地址：延安市新区大都荟B座501</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CKD全程管理中心信息化建设-实现CKD诊治的全面信息化管理，提升区域防治效率。通过部署信息化系统，自动记录患者每次就诊的相关数据，实现患者的全流程管理，并完成治疗数据的自动上报。通过数据统计和分析，对系统持续进行质控和流程优化。实现区县级医院的肾内科接入信息化系统，互联互通患者数据，指导县级医院管理中心建设，初步形成区域CKD研究管理网络。设计患者移动端，为患者提供从住院到出院、居家的及时有效全程化个案信息管理。构建科研基础设施，提升CKD诊治的理论与实践能力。 建设肾内科临床科研数据库，收集数据用于科学研究，探索CKD的早期干预方法、最佳治疗时机、发病机制及预后影响因素等。针对本地区CKD特殊发病机制和影响因素，提出早期干预措施，控制区域内发病率。利用科研成果指导CKD诊治工作，优化治疗效果，改善患者预后，降低发病率，专病数据库计算服务器提升运算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慢性肾脏病一体化管理建设项目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标的名称：慢性肾脏病一体化管理建设项目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9"/>
              <w:gridCol w:w="328"/>
              <w:gridCol w:w="2010"/>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模块名称</w:t>
                  </w:r>
                </w:p>
              </w:tc>
              <w:tc>
                <w:tcPr>
                  <w:tcW w:type="dxa" w:w="2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b/>
                      <w:color w:val="000000"/>
                    </w:rPr>
                    <w:t>技术要求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首页</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b/>
                      <w:color w:val="000000"/>
                    </w:rPr>
                    <w:t>1）系统总览</w:t>
                  </w:r>
                </w:p>
                <w:p>
                  <w:pPr>
                    <w:pStyle w:val="null3"/>
                    <w:ind w:firstLine="480"/>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糖尿病肾病联合门诊</w:t>
                  </w:r>
                  <w:r>
                    <w:rPr>
                      <w:rFonts w:ascii="仿宋_GB2312" w:hAnsi="仿宋_GB2312" w:cs="仿宋_GB2312" w:eastAsia="仿宋_GB2312"/>
                      <w:sz w:val="24"/>
                      <w:color w:val="000000"/>
                    </w:rPr>
                    <w:t>总数、</w:t>
                  </w:r>
                  <w:r>
                    <w:rPr>
                      <w:rFonts w:ascii="仿宋_GB2312" w:hAnsi="仿宋_GB2312" w:cs="仿宋_GB2312" w:eastAsia="仿宋_GB2312"/>
                      <w:sz w:val="24"/>
                      <w:color w:val="000000"/>
                    </w:rPr>
                    <w:t>肾内和泌尿外联合门诊总数</w:t>
                  </w:r>
                  <w:r>
                    <w:rPr>
                      <w:rFonts w:ascii="仿宋_GB2312" w:hAnsi="仿宋_GB2312" w:cs="仿宋_GB2312" w:eastAsia="仿宋_GB2312"/>
                      <w:sz w:val="24"/>
                      <w:color w:val="000000"/>
                    </w:rPr>
                    <w:t>、</w:t>
                  </w:r>
                  <w:r>
                    <w:rPr>
                      <w:rFonts w:ascii="仿宋_GB2312" w:hAnsi="仿宋_GB2312" w:cs="仿宋_GB2312" w:eastAsia="仿宋_GB2312"/>
                      <w:sz w:val="24"/>
                      <w:color w:val="000000"/>
                    </w:rPr>
                    <w:t>甲状旁腺术后患者总数</w:t>
                  </w:r>
                  <w:r>
                    <w:rPr>
                      <w:rFonts w:ascii="仿宋_GB2312" w:hAnsi="仿宋_GB2312" w:cs="仿宋_GB2312" w:eastAsia="仿宋_GB2312"/>
                      <w:sz w:val="24"/>
                      <w:color w:val="000000"/>
                    </w:rPr>
                    <w:t>、</w:t>
                  </w:r>
                  <w:r>
                    <w:rPr>
                      <w:rFonts w:ascii="仿宋_GB2312" w:hAnsi="仿宋_GB2312" w:cs="仿宋_GB2312" w:eastAsia="仿宋_GB2312"/>
                      <w:sz w:val="24"/>
                      <w:color w:val="000000"/>
                    </w:rPr>
                    <w:t>肾穿检查总数</w:t>
                  </w:r>
                  <w:r>
                    <w:rPr>
                      <w:rFonts w:ascii="仿宋_GB2312" w:hAnsi="仿宋_GB2312" w:cs="仿宋_GB2312" w:eastAsia="仿宋_GB2312"/>
                      <w:sz w:val="24"/>
                      <w:color w:val="000000"/>
                    </w:rPr>
                    <w:t>、</w:t>
                  </w:r>
                  <w:r>
                    <w:rPr>
                      <w:rFonts w:ascii="仿宋_GB2312" w:hAnsi="仿宋_GB2312" w:cs="仿宋_GB2312" w:eastAsia="仿宋_GB2312"/>
                      <w:sz w:val="24"/>
                      <w:color w:val="000000"/>
                    </w:rPr>
                    <w:t>其它患者标签总数、在访患者总数。</w:t>
                  </w:r>
                </w:p>
                <w:p>
                  <w:pPr>
                    <w:pStyle w:val="null3"/>
                    <w:ind w:firstLine="480"/>
                  </w:pPr>
                  <w:r>
                    <w:rPr>
                      <w:rFonts w:ascii="仿宋_GB2312" w:hAnsi="仿宋_GB2312" w:cs="仿宋_GB2312" w:eastAsia="仿宋_GB2312"/>
                      <w:sz w:val="24"/>
                      <w:b/>
                      <w:color w:val="000000"/>
                    </w:rPr>
                    <w:t>2）数据展示</w:t>
                  </w:r>
                </w:p>
                <w:p>
                  <w:pPr>
                    <w:pStyle w:val="null3"/>
                    <w:ind w:firstLine="480"/>
                  </w:pPr>
                  <w:r>
                    <w:rPr>
                      <w:rFonts w:ascii="仿宋_GB2312" w:hAnsi="仿宋_GB2312" w:cs="仿宋_GB2312" w:eastAsia="仿宋_GB2312"/>
                      <w:sz w:val="24"/>
                      <w:color w:val="000000"/>
                    </w:rPr>
                    <w:t>1、三个月为随访在访患者、三个月未随访出组患者、已结案患者、六个月为随访在访患者、六个月未随访出组患者。</w:t>
                  </w:r>
                </w:p>
                <w:p>
                  <w:pPr>
                    <w:pStyle w:val="null3"/>
                    <w:ind w:firstLine="480"/>
                  </w:pPr>
                  <w:r>
                    <w:rPr>
                      <w:rFonts w:ascii="仿宋_GB2312" w:hAnsi="仿宋_GB2312" w:cs="仿宋_GB2312" w:eastAsia="仿宋_GB2312"/>
                      <w:sz w:val="24"/>
                      <w:color w:val="000000"/>
                    </w:rPr>
                    <w:t>2、展示患者姓名、年龄、电话、疾病诊断及最后随访日期。</w:t>
                  </w:r>
                </w:p>
                <w:p>
                  <w:pPr>
                    <w:pStyle w:val="null3"/>
                    <w:ind w:firstLine="480"/>
                  </w:pPr>
                  <w:r>
                    <w:rPr>
                      <w:rFonts w:ascii="仿宋_GB2312" w:hAnsi="仿宋_GB2312" w:cs="仿宋_GB2312" w:eastAsia="仿宋_GB2312"/>
                      <w:sz w:val="24"/>
                      <w:color w:val="000000"/>
                    </w:rPr>
                    <w:t>3、展示患者随访记录、用药记录、疾病诊断、饮食评估、饮食回顾、实验室检查、辅助检查、体格检查、问卷评估等。</w:t>
                  </w:r>
                </w:p>
                <w:p>
                  <w:pPr>
                    <w:pStyle w:val="null3"/>
                    <w:ind w:firstLine="480"/>
                  </w:pPr>
                  <w:r>
                    <w:rPr>
                      <w:rFonts w:ascii="仿宋_GB2312" w:hAnsi="仿宋_GB2312" w:cs="仿宋_GB2312" w:eastAsia="仿宋_GB2312"/>
                      <w:sz w:val="24"/>
                      <w:color w:val="000000"/>
                    </w:rPr>
                    <w:t>4、支持对所有患者查询、支持对我的患者查询。</w:t>
                  </w:r>
                </w:p>
                <w:p>
                  <w:pPr>
                    <w:pStyle w:val="null3"/>
                    <w:ind w:firstLine="480"/>
                  </w:pPr>
                  <w:r>
                    <w:rPr>
                      <w:rFonts w:ascii="仿宋_GB2312" w:hAnsi="仿宋_GB2312" w:cs="仿宋_GB2312" w:eastAsia="仿宋_GB2312"/>
                      <w:sz w:val="24"/>
                      <w:color w:val="000000"/>
                    </w:rPr>
                    <w:t>5、对再访患者详细分类并详细展示。</w:t>
                  </w:r>
                </w:p>
                <w:p>
                  <w:pPr>
                    <w:pStyle w:val="null3"/>
                    <w:ind w:firstLine="482"/>
                  </w:pPr>
                  <w:r>
                    <w:rPr>
                      <w:rFonts w:ascii="仿宋_GB2312" w:hAnsi="仿宋_GB2312" w:cs="仿宋_GB2312" w:eastAsia="仿宋_GB2312"/>
                      <w:sz w:val="24"/>
                      <w:b/>
                      <w:color w:val="000000"/>
                    </w:rPr>
                    <w:t>3）预约通知提醒：展示预约待通知数量及日期</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患者入筛</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b/>
                      <w:color w:val="000000"/>
                    </w:rPr>
                    <w:t>1）筛查结果</w:t>
                  </w:r>
                </w:p>
                <w:p>
                  <w:pPr>
                    <w:pStyle w:val="null3"/>
                    <w:ind w:firstLine="600"/>
                  </w:pPr>
                  <w:r>
                    <w:rPr>
                      <w:rFonts w:ascii="仿宋_GB2312" w:hAnsi="仿宋_GB2312" w:cs="仿宋_GB2312" w:eastAsia="仿宋_GB2312"/>
                      <w:sz w:val="24"/>
                      <w:color w:val="000000"/>
                    </w:rPr>
                    <w:t>对接医院</w:t>
                  </w:r>
                  <w:r>
                    <w:rPr>
                      <w:rFonts w:ascii="仿宋_GB2312" w:hAnsi="仿宋_GB2312" w:cs="仿宋_GB2312" w:eastAsia="仿宋_GB2312"/>
                      <w:sz w:val="24"/>
                      <w:color w:val="000000"/>
                    </w:rPr>
                    <w:t>HIS、LIS后，根据所设置筛查参数，系统筛查出异常患者；根据筛查结果进行分析，可提前干预患者或选择加入慢病管理中心系统；</w:t>
                  </w:r>
                </w:p>
                <w:p>
                  <w:pPr>
                    <w:pStyle w:val="null3"/>
                    <w:ind w:firstLine="480"/>
                  </w:pPr>
                  <w:r>
                    <w:rPr>
                      <w:rFonts w:ascii="仿宋_GB2312" w:hAnsi="仿宋_GB2312" w:cs="仿宋_GB2312" w:eastAsia="仿宋_GB2312"/>
                      <w:sz w:val="24"/>
                      <w:color w:val="000000"/>
                    </w:rPr>
                    <w:t>支持根据时间、姓名、科别、入筛去向、风险等级进行手工筛查数据。</w:t>
                  </w:r>
                </w:p>
                <w:p>
                  <w:pPr>
                    <w:pStyle w:val="null3"/>
                    <w:ind w:firstLine="480"/>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）筛查设置</w:t>
                  </w:r>
                </w:p>
                <w:p>
                  <w:pPr>
                    <w:pStyle w:val="null3"/>
                    <w:ind w:firstLine="480"/>
                  </w:pPr>
                  <w:r>
                    <w:rPr>
                      <w:rFonts w:ascii="仿宋_GB2312" w:hAnsi="仿宋_GB2312" w:cs="仿宋_GB2312" w:eastAsia="仿宋_GB2312"/>
                      <w:sz w:val="24"/>
                      <w:color w:val="000000"/>
                    </w:rPr>
                    <w:t>根据医院对慢性肾病个体化筛查标注进行设置及管理，系统将根据设置会智能筛查出所对应结果，帮助医院提升患者管理，尽早干预患者管理；</w:t>
                  </w:r>
                </w:p>
                <w:p>
                  <w:pPr>
                    <w:pStyle w:val="null3"/>
                    <w:ind w:firstLine="480"/>
                  </w:pPr>
                  <w:r>
                    <w:rPr>
                      <w:rFonts w:ascii="仿宋_GB2312" w:hAnsi="仿宋_GB2312" w:cs="仿宋_GB2312" w:eastAsia="仿宋_GB2312"/>
                      <w:sz w:val="24"/>
                      <w:color w:val="000000"/>
                    </w:rPr>
                    <w:t>支持自定义设置血常规、肾功能、肝功能、血脂、</w:t>
                  </w:r>
                  <w:r>
                    <w:rPr>
                      <w:rFonts w:ascii="仿宋_GB2312" w:hAnsi="仿宋_GB2312" w:cs="仿宋_GB2312" w:eastAsia="仿宋_GB2312"/>
                      <w:sz w:val="24"/>
                      <w:color w:val="000000"/>
                    </w:rPr>
                    <w:t>BNP、尿常规、尿生化、糖化血红蛋白、甲状旁腺激素等化验入筛条件范围。</w:t>
                  </w:r>
                </w:p>
                <w:p>
                  <w:pPr>
                    <w:pStyle w:val="null3"/>
                    <w:ind w:firstLine="480"/>
                  </w:pPr>
                  <w:r>
                    <w:rPr>
                      <w:rFonts w:ascii="仿宋_GB2312" w:hAnsi="仿宋_GB2312" w:cs="仿宋_GB2312" w:eastAsia="仿宋_GB2312"/>
                      <w:sz w:val="24"/>
                      <w:color w:val="000000"/>
                    </w:rPr>
                    <w:t>支持根据不同入筛条件，设置多个模版设置。</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患者管理</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b/>
                      <w:color w:val="000000"/>
                    </w:rPr>
                    <w:t>1）患者列表</w:t>
                  </w:r>
                </w:p>
                <w:p>
                  <w:pPr>
                    <w:pStyle w:val="null3"/>
                    <w:ind w:firstLine="480"/>
                  </w:pPr>
                  <w:r>
                    <w:rPr>
                      <w:rFonts w:ascii="仿宋_GB2312" w:hAnsi="仿宋_GB2312" w:cs="仿宋_GB2312" w:eastAsia="仿宋_GB2312"/>
                      <w:sz w:val="24"/>
                      <w:color w:val="000000"/>
                    </w:rPr>
                    <w:t>患者列表支持精准搜索也能够支持强大的搜索功能，按照医护人员设置的复合搜索条件找到相关的患者，比如说能够找到整个系统内</w:t>
                  </w:r>
                  <w:r>
                    <w:rPr>
                      <w:rFonts w:ascii="仿宋_GB2312" w:hAnsi="仿宋_GB2312" w:cs="仿宋_GB2312" w:eastAsia="仿宋_GB2312"/>
                      <w:sz w:val="24"/>
                      <w:color w:val="000000"/>
                    </w:rPr>
                    <w:t>根据患者类型新登记、随访中、出组、好转停药、血透、本院血透随访、是否是透析患者、责任医生、责任护士、肾穿刺活检术后治疗、甲状旁腺术后治疗、</w:t>
                  </w:r>
                </w:p>
                <w:p>
                  <w:pPr>
                    <w:pStyle w:val="null3"/>
                  </w:pPr>
                  <w:r>
                    <w:rPr>
                      <w:rFonts w:ascii="仿宋_GB2312" w:hAnsi="仿宋_GB2312" w:cs="仿宋_GB2312" w:eastAsia="仿宋_GB2312"/>
                      <w:sz w:val="24"/>
                      <w:color w:val="000000"/>
                    </w:rPr>
                    <w:t>糖尿病肾病联合治疗、肾内泌外联合门诊治疗、病因诊断、原发病、</w:t>
                  </w:r>
                  <w:r>
                    <w:rPr>
                      <w:rFonts w:ascii="仿宋_GB2312" w:hAnsi="仿宋_GB2312" w:cs="仿宋_GB2312" w:eastAsia="仿宋_GB2312"/>
                      <w:sz w:val="24"/>
                      <w:color w:val="000000"/>
                    </w:rPr>
                    <w:t>CKD分期、最后随访日期</w:t>
                  </w:r>
                  <w:r>
                    <w:rPr>
                      <w:rFonts w:ascii="仿宋_GB2312" w:hAnsi="仿宋_GB2312" w:cs="仿宋_GB2312" w:eastAsia="仿宋_GB2312"/>
                      <w:sz w:val="24"/>
                      <w:color w:val="000000"/>
                    </w:rPr>
                    <w:t>的患者。</w:t>
                  </w:r>
                </w:p>
                <w:p>
                  <w:pPr>
                    <w:pStyle w:val="null3"/>
                    <w:ind w:firstLine="480"/>
                  </w:pPr>
                  <w:r>
                    <w:rPr>
                      <w:rFonts w:ascii="仿宋_GB2312" w:hAnsi="仿宋_GB2312" w:cs="仿宋_GB2312" w:eastAsia="仿宋_GB2312"/>
                      <w:sz w:val="24"/>
                      <w:color w:val="000000"/>
                    </w:rPr>
                    <w:t>患者电子病历包含几</w:t>
                  </w:r>
                  <w:r>
                    <w:rPr>
                      <w:rFonts w:ascii="仿宋_GB2312" w:hAnsi="仿宋_GB2312" w:cs="仿宋_GB2312" w:eastAsia="仿宋_GB2312"/>
                      <w:sz w:val="24"/>
                      <w:color w:val="000000"/>
                    </w:rPr>
                    <w:t>个部分：基本信息、</w:t>
                  </w:r>
                  <w:r>
                    <w:rPr>
                      <w:rFonts w:ascii="仿宋_GB2312" w:hAnsi="仿宋_GB2312" w:cs="仿宋_GB2312" w:eastAsia="仿宋_GB2312"/>
                      <w:sz w:val="24"/>
                      <w:color w:val="000000"/>
                    </w:rPr>
                    <w:t>随访记录、用药处方、诊断信息、饮食评估、饮食回顾、实验室检查、辅助检查、体格检查、问卷评估、患者宣教等</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b/>
                      <w:color w:val="000000"/>
                    </w:rPr>
                    <w:t>2）星标页</w:t>
                  </w:r>
                </w:p>
                <w:p>
                  <w:pPr>
                    <w:pStyle w:val="null3"/>
                    <w:ind w:firstLine="600"/>
                  </w:pPr>
                  <w:r>
                    <w:rPr>
                      <w:rFonts w:ascii="仿宋_GB2312" w:hAnsi="仿宋_GB2312" w:cs="仿宋_GB2312" w:eastAsia="仿宋_GB2312"/>
                      <w:sz w:val="24"/>
                      <w:color w:val="000000"/>
                    </w:rPr>
                    <w:t>固定及对比多个患者页面数据，方便医护快速查找和对比患者信息。</w:t>
                  </w:r>
                </w:p>
                <w:p>
                  <w:pPr>
                    <w:pStyle w:val="null3"/>
                    <w:ind w:firstLine="480"/>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）新增患者</w:t>
                  </w:r>
                </w:p>
                <w:p>
                  <w:pPr>
                    <w:pStyle w:val="null3"/>
                    <w:ind w:firstLine="360"/>
                  </w:pPr>
                  <w:r>
                    <w:rPr>
                      <w:rFonts w:ascii="仿宋_GB2312" w:hAnsi="仿宋_GB2312" w:cs="仿宋_GB2312" w:eastAsia="仿宋_GB2312"/>
                      <w:sz w:val="24"/>
                      <w:color w:val="000000"/>
                    </w:rPr>
                    <w:t>对接医院</w:t>
                  </w:r>
                  <w:r>
                    <w:rPr>
                      <w:rFonts w:ascii="仿宋_GB2312" w:hAnsi="仿宋_GB2312" w:cs="仿宋_GB2312" w:eastAsia="仿宋_GB2312"/>
                      <w:sz w:val="24"/>
                      <w:color w:val="000000"/>
                    </w:rPr>
                    <w:t>HIS、LIS后可快捷拉取患者基本信息；</w:t>
                  </w:r>
                </w:p>
                <w:p>
                  <w:pPr>
                    <w:pStyle w:val="null3"/>
                    <w:ind w:firstLine="360"/>
                  </w:pPr>
                  <w:r>
                    <w:rPr>
                      <w:rFonts w:ascii="仿宋_GB2312" w:hAnsi="仿宋_GB2312" w:cs="仿宋_GB2312" w:eastAsia="仿宋_GB2312"/>
                      <w:sz w:val="24"/>
                      <w:color w:val="000000"/>
                    </w:rPr>
                    <w:t>新增患者</w:t>
                  </w:r>
                  <w:r>
                    <w:rPr>
                      <w:rFonts w:ascii="仿宋_GB2312" w:hAnsi="仿宋_GB2312" w:cs="仿宋_GB2312" w:eastAsia="仿宋_GB2312"/>
                      <w:sz w:val="24"/>
                      <w:color w:val="000000"/>
                    </w:rPr>
                    <w:t>信息包括</w:t>
                  </w:r>
                  <w:r>
                    <w:rPr>
                      <w:rFonts w:ascii="仿宋_GB2312" w:hAnsi="仿宋_GB2312" w:cs="仿宋_GB2312" w:eastAsia="仿宋_GB2312"/>
                      <w:sz w:val="24"/>
                      <w:color w:val="000000"/>
                    </w:rPr>
                    <w:t>：</w:t>
                  </w:r>
                  <w:r>
                    <w:rPr>
                      <w:rFonts w:ascii="仿宋_GB2312" w:hAnsi="仿宋_GB2312" w:cs="仿宋_GB2312" w:eastAsia="仿宋_GB2312"/>
                      <w:sz w:val="24"/>
                      <w:color w:val="000000"/>
                    </w:rPr>
                    <w:t>基本情况：</w:t>
                  </w:r>
                  <w:r>
                    <w:rPr>
                      <w:rFonts w:ascii="仿宋_GB2312" w:hAnsi="仿宋_GB2312" w:cs="仿宋_GB2312" w:eastAsia="仿宋_GB2312"/>
                      <w:sz w:val="24"/>
                      <w:color w:val="000000"/>
                    </w:rPr>
                    <w:t>就诊卡号、人口统计学信息、联系人、基本医疗信息</w:t>
                  </w:r>
                  <w:r>
                    <w:rPr>
                      <w:rFonts w:ascii="仿宋_GB2312" w:hAnsi="仿宋_GB2312" w:cs="仿宋_GB2312" w:eastAsia="仿宋_GB2312"/>
                      <w:sz w:val="24"/>
                      <w:color w:val="000000"/>
                    </w:rPr>
                    <w:t>、体重、身高等；医疗信息：首诊日期、</w:t>
                  </w:r>
                  <w:r>
                    <w:rPr>
                      <w:rFonts w:ascii="仿宋_GB2312" w:hAnsi="仿宋_GB2312" w:cs="仿宋_GB2312" w:eastAsia="仿宋_GB2312"/>
                      <w:sz w:val="24"/>
                      <w:color w:val="000000"/>
                    </w:rPr>
                    <w:t>CKD分期，用药史等；肾穿刺活检术信息：肾穿日期、激素使用情况、肾脏病理诊断等；甲状旁腺术后治疗：手术日期、手术方式、术前术后检查结果等信息</w:t>
                  </w:r>
                  <w:r>
                    <w:rPr>
                      <w:rFonts w:ascii="仿宋_GB2312" w:hAnsi="仿宋_GB2312" w:cs="仿宋_GB2312" w:eastAsia="仿宋_GB2312"/>
                      <w:sz w:val="24"/>
                      <w:color w:val="000000"/>
                    </w:rPr>
                    <w:t>组成；</w:t>
                  </w:r>
                </w:p>
                <w:p>
                  <w:pPr>
                    <w:pStyle w:val="null3"/>
                  </w:pPr>
                  <w:r>
                    <w:rPr>
                      <w:rFonts w:ascii="仿宋_GB2312" w:hAnsi="仿宋_GB2312" w:cs="仿宋_GB2312" w:eastAsia="仿宋_GB2312"/>
                      <w:sz w:val="24"/>
                      <w:b/>
                      <w:color w:val="000000"/>
                    </w:rPr>
                    <w:t>4）数据导出</w:t>
                  </w:r>
                </w:p>
                <w:p>
                  <w:pPr>
                    <w:pStyle w:val="null3"/>
                    <w:ind w:firstLine="360"/>
                  </w:pPr>
                  <w:r>
                    <w:rPr>
                      <w:rFonts w:ascii="仿宋_GB2312" w:hAnsi="仿宋_GB2312" w:cs="仿宋_GB2312" w:eastAsia="仿宋_GB2312"/>
                      <w:sz w:val="24"/>
                      <w:color w:val="000000"/>
                    </w:rPr>
                    <w:t>按照所选标签糖尿病肾病联合门诊，肾内和泌尿外联合门诊，甲状旁腺术后，肾穿检查，页面勾选患者或所有患者及时间段选择导出对应患者。</w:t>
                  </w:r>
                </w:p>
                <w:p>
                  <w:pPr>
                    <w:pStyle w:val="null3"/>
                    <w:ind w:firstLine="480"/>
                  </w:pPr>
                  <w:r>
                    <w:rPr>
                      <w:rFonts w:ascii="仿宋_GB2312" w:hAnsi="仿宋_GB2312" w:cs="仿宋_GB2312" w:eastAsia="仿宋_GB2312"/>
                      <w:sz w:val="24"/>
                      <w:b/>
                      <w:color w:val="000000"/>
                    </w:rPr>
                    <w:t>5）便签管理</w:t>
                  </w:r>
                </w:p>
                <w:p>
                  <w:pPr>
                    <w:pStyle w:val="null3"/>
                    <w:ind w:firstLine="600"/>
                  </w:pPr>
                  <w:r>
                    <w:rPr>
                      <w:rFonts w:ascii="仿宋_GB2312" w:hAnsi="仿宋_GB2312" w:cs="仿宋_GB2312" w:eastAsia="仿宋_GB2312"/>
                      <w:sz w:val="24"/>
                      <w:color w:val="000000"/>
                    </w:rPr>
                    <w:t>可根据患者个体化情况以标签形式进行管理与备注，便于提升工作效率；</w:t>
                  </w:r>
                </w:p>
                <w:p>
                  <w:pPr>
                    <w:pStyle w:val="null3"/>
                    <w:ind w:firstLine="482"/>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）随访记录</w:t>
                  </w:r>
                </w:p>
                <w:p>
                  <w:pPr>
                    <w:pStyle w:val="null3"/>
                    <w:ind w:firstLine="600"/>
                  </w:pPr>
                  <w:r>
                    <w:rPr>
                      <w:rFonts w:ascii="仿宋_GB2312" w:hAnsi="仿宋_GB2312" w:cs="仿宋_GB2312" w:eastAsia="仿宋_GB2312"/>
                      <w:sz w:val="24"/>
                      <w:color w:val="000000"/>
                    </w:rPr>
                    <w:t>支持患者精准搜索，根据随访日期，随访类型查询该患者随访记录。</w:t>
                  </w:r>
                </w:p>
                <w:p>
                  <w:pPr>
                    <w:pStyle w:val="null3"/>
                    <w:ind w:firstLine="600"/>
                  </w:pPr>
                  <w:r>
                    <w:rPr>
                      <w:rFonts w:ascii="仿宋_GB2312" w:hAnsi="仿宋_GB2312" w:cs="仿宋_GB2312" w:eastAsia="仿宋_GB2312"/>
                      <w:sz w:val="24"/>
                      <w:color w:val="000000"/>
                    </w:rPr>
                    <w:t>选择门诊随访或电话随访新增随访记录</w:t>
                  </w:r>
                </w:p>
                <w:p>
                  <w:pPr>
                    <w:pStyle w:val="null3"/>
                    <w:ind w:firstLine="600"/>
                  </w:pPr>
                  <w:r>
                    <w:rPr>
                      <w:rFonts w:ascii="仿宋_GB2312" w:hAnsi="仿宋_GB2312" w:cs="仿宋_GB2312" w:eastAsia="仿宋_GB2312"/>
                      <w:sz w:val="24"/>
                      <w:color w:val="000000"/>
                    </w:rPr>
                    <w:t>随访记录包括体格检查、实验室检查、辅助检查、饮食评估、饮食回顾、用药记录、诊断信息、患者宣教、存在问题及结果、患者归属去向；</w:t>
                  </w:r>
                </w:p>
                <w:p>
                  <w:pPr>
                    <w:pStyle w:val="null3"/>
                    <w:ind w:firstLine="600"/>
                  </w:pPr>
                  <w:r>
                    <w:rPr>
                      <w:rFonts w:ascii="仿宋_GB2312" w:hAnsi="仿宋_GB2312" w:cs="仿宋_GB2312" w:eastAsia="仿宋_GB2312"/>
                      <w:sz w:val="24"/>
                      <w:color w:val="000000"/>
                    </w:rPr>
                    <w:t>支持患者随访记录按时间、类型查询，查询特定时间中不同类型患者的随访详细情况。并可对患者随访内容做修改补充，对患者随访所生成的用药记录单、随访报告单可直接打印。</w:t>
                  </w:r>
                </w:p>
                <w:p>
                  <w:pPr>
                    <w:pStyle w:val="null3"/>
                    <w:ind w:firstLine="600"/>
                  </w:pPr>
                  <w:r>
                    <w:rPr>
                      <w:rFonts w:ascii="仿宋_GB2312" w:hAnsi="仿宋_GB2312" w:cs="仿宋_GB2312" w:eastAsia="仿宋_GB2312"/>
                      <w:sz w:val="24"/>
                      <w:color w:val="000000"/>
                    </w:rPr>
                    <w:t>随访标准化流程提供，</w:t>
                  </w:r>
                  <w:r>
                    <w:rPr>
                      <w:rFonts w:ascii="仿宋_GB2312" w:hAnsi="仿宋_GB2312" w:cs="仿宋_GB2312" w:eastAsia="仿宋_GB2312"/>
                      <w:sz w:val="24"/>
                      <w:color w:val="000000"/>
                    </w:rPr>
                    <w:t>1、医护记录患者体格检查、实验室检查、辅助检查、饮食评估、饮食回顾、用药记录、诊断信息、患者宣教；2、为患者评估症状，记录用药信息，制定下一步诊疗计划，医生小结，支持多个模版的选择；3、护士为患者进行评估，健康宣教，确定下次随访时间，护理小结完成，支持多个模版的选择。结束本次随访并打印随访记录单；</w:t>
                  </w:r>
                </w:p>
                <w:p>
                  <w:pPr>
                    <w:pStyle w:val="null3"/>
                    <w:ind w:firstLine="480"/>
                  </w:pPr>
                  <w:r>
                    <w:rPr>
                      <w:rFonts w:ascii="仿宋_GB2312" w:hAnsi="仿宋_GB2312" w:cs="仿宋_GB2312" w:eastAsia="仿宋_GB2312"/>
                      <w:sz w:val="24"/>
                      <w:color w:val="000000"/>
                    </w:rPr>
                    <w:t>体格检查包括血压、脉搏、血糖、二便、吸烟等基础信息；症状体征包括瘙痒、疼痛、水肿、心脑血管系统、呼吸系统、消化系统、泌尿系统等；体表指数包括颈围、腰围、臀围、上臂围等；</w:t>
                  </w:r>
                </w:p>
                <w:p>
                  <w:pPr>
                    <w:pStyle w:val="null3"/>
                    <w:ind w:firstLine="480"/>
                  </w:pPr>
                  <w:r>
                    <w:rPr>
                      <w:rFonts w:ascii="仿宋_GB2312" w:hAnsi="仿宋_GB2312" w:cs="仿宋_GB2312" w:eastAsia="仿宋_GB2312"/>
                      <w:sz w:val="24"/>
                      <w:color w:val="000000"/>
                    </w:rPr>
                    <w:t>实验室检查支持自定义时间段从</w:t>
                  </w:r>
                  <w:r>
                    <w:rPr>
                      <w:rFonts w:ascii="仿宋_GB2312" w:hAnsi="仿宋_GB2312" w:cs="仿宋_GB2312" w:eastAsia="仿宋_GB2312"/>
                      <w:sz w:val="24"/>
                      <w:color w:val="000000"/>
                    </w:rPr>
                    <w:t>his提取需要的化验项及化验结果，并支持手工化验单的录入；</w:t>
                  </w:r>
                </w:p>
                <w:p>
                  <w:pPr>
                    <w:pStyle w:val="null3"/>
                    <w:ind w:firstLine="480"/>
                  </w:pPr>
                  <w:r>
                    <w:rPr>
                      <w:rFonts w:ascii="仿宋_GB2312" w:hAnsi="仿宋_GB2312" w:cs="仿宋_GB2312" w:eastAsia="仿宋_GB2312"/>
                      <w:sz w:val="24"/>
                      <w:color w:val="000000"/>
                    </w:rPr>
                    <w:t>辅助检查包括支持自定义时间段从</w:t>
                  </w:r>
                  <w:r>
                    <w:rPr>
                      <w:rFonts w:ascii="仿宋_GB2312" w:hAnsi="仿宋_GB2312" w:cs="仿宋_GB2312" w:eastAsia="仿宋_GB2312"/>
                      <w:sz w:val="24"/>
                      <w:color w:val="000000"/>
                    </w:rPr>
                    <w:t>his提取需要的检查项及检查结果，并支持手工检查结果的录入；</w:t>
                  </w:r>
                </w:p>
                <w:p>
                  <w:pPr>
                    <w:pStyle w:val="null3"/>
                    <w:ind w:firstLine="480"/>
                  </w:pPr>
                  <w:r>
                    <w:rPr>
                      <w:rFonts w:ascii="仿宋_GB2312" w:hAnsi="仿宋_GB2312" w:cs="仿宋_GB2312" w:eastAsia="仿宋_GB2312"/>
                      <w:sz w:val="24"/>
                      <w:color w:val="000000"/>
                    </w:rPr>
                    <w:t>饮食评估，支持根据患者一般情况，实验室检查，是否有糖尿病情况等内容，系统依据</w:t>
                  </w:r>
                  <w:r>
                    <w:rPr>
                      <w:rFonts w:ascii="仿宋_GB2312" w:hAnsi="仿宋_GB2312" w:cs="仿宋_GB2312" w:eastAsia="仿宋_GB2312"/>
                      <w:sz w:val="24"/>
                      <w:color w:val="000000"/>
                    </w:rPr>
                    <w:t>2021版饮食管理指南并结合2024年KDIGO指南给与饮食指导。对患者能量摄入不足的问卷调查，包括蛋类摄入、奶类摄入、谷物等</w:t>
                  </w:r>
                  <w:r>
                    <w:rPr>
                      <w:rFonts w:ascii="仿宋_GB2312" w:hAnsi="仿宋_GB2312" w:cs="仿宋_GB2312" w:eastAsia="仿宋_GB2312"/>
                      <w:sz w:val="24"/>
                      <w:color w:val="000000"/>
                    </w:rPr>
                    <w:t>食物</w:t>
                  </w:r>
                  <w:r>
                    <w:rPr>
                      <w:rFonts w:ascii="仿宋_GB2312" w:hAnsi="仿宋_GB2312" w:cs="仿宋_GB2312" w:eastAsia="仿宋_GB2312"/>
                      <w:sz w:val="24"/>
                      <w:color w:val="000000"/>
                    </w:rPr>
                    <w:t>的摄入等摄入情况，给与患者各种饮食的具体方案。</w:t>
                  </w:r>
                </w:p>
                <w:p>
                  <w:pPr>
                    <w:pStyle w:val="null3"/>
                    <w:ind w:firstLine="480"/>
                  </w:pPr>
                  <w:r>
                    <w:rPr>
                      <w:rFonts w:ascii="仿宋_GB2312" w:hAnsi="仿宋_GB2312" w:cs="仿宋_GB2312" w:eastAsia="仿宋_GB2312"/>
                      <w:sz w:val="24"/>
                      <w:color w:val="000000"/>
                    </w:rPr>
                    <w:t>饮食回顾，支持对三日饮食、三日多餐饮食、粗略饮食根据热量系数、蛋白质系数、优质蛋白质系数、腹透液吸收能量设置目标值，通过对患者三日各种饮食的摄入，自动给与标准值，三日摄入能量大卡值及需要调整能量大卡值。</w:t>
                  </w:r>
                </w:p>
                <w:p>
                  <w:pPr>
                    <w:pStyle w:val="null3"/>
                    <w:ind w:firstLine="480"/>
                  </w:pPr>
                  <w:r>
                    <w:rPr>
                      <w:rFonts w:ascii="仿宋_GB2312" w:hAnsi="仿宋_GB2312" w:cs="仿宋_GB2312" w:eastAsia="仿宋_GB2312"/>
                      <w:sz w:val="24"/>
                      <w:color w:val="000000"/>
                    </w:rPr>
                    <w:t>用药记录，支持对任意时间段</w:t>
                  </w:r>
                  <w:r>
                    <w:rPr>
                      <w:rFonts w:ascii="仿宋_GB2312" w:hAnsi="仿宋_GB2312" w:cs="仿宋_GB2312" w:eastAsia="仿宋_GB2312"/>
                      <w:sz w:val="24"/>
                      <w:color w:val="000000"/>
                    </w:rPr>
                    <w:t>his医嘱的调取，支持手动添加新的医嘱，支持对历史处方的查询。</w:t>
                  </w:r>
                </w:p>
                <w:p>
                  <w:pPr>
                    <w:pStyle w:val="null3"/>
                    <w:ind w:firstLine="480"/>
                  </w:pPr>
                  <w:r>
                    <w:rPr>
                      <w:rFonts w:ascii="仿宋_GB2312" w:hAnsi="仿宋_GB2312" w:cs="仿宋_GB2312" w:eastAsia="仿宋_GB2312"/>
                      <w:sz w:val="24"/>
                      <w:color w:val="000000"/>
                    </w:rPr>
                    <w:t>诊断信息，支持对任意时间段</w:t>
                  </w:r>
                  <w:r>
                    <w:rPr>
                      <w:rFonts w:ascii="仿宋_GB2312" w:hAnsi="仿宋_GB2312" w:cs="仿宋_GB2312" w:eastAsia="仿宋_GB2312"/>
                      <w:sz w:val="24"/>
                      <w:color w:val="000000"/>
                    </w:rPr>
                    <w:t>his诊断信息的调取，支持手动添加新的诊断医嘱，支持对历史诊断的查询。</w:t>
                  </w:r>
                </w:p>
                <w:p>
                  <w:pPr>
                    <w:pStyle w:val="null3"/>
                    <w:ind w:firstLine="480"/>
                  </w:pPr>
                  <w:r>
                    <w:rPr>
                      <w:rFonts w:ascii="仿宋_GB2312" w:hAnsi="仿宋_GB2312" w:cs="仿宋_GB2312" w:eastAsia="仿宋_GB2312"/>
                      <w:sz w:val="24"/>
                      <w:color w:val="000000"/>
                    </w:rPr>
                    <w:t>问卷评估，根据患者情况选择不同评估内容，并支持根据任意时间段进行评估历史的查询。</w:t>
                  </w:r>
                </w:p>
                <w:p>
                  <w:pPr>
                    <w:pStyle w:val="null3"/>
                    <w:ind w:firstLine="480"/>
                  </w:pPr>
                  <w:r>
                    <w:rPr>
                      <w:rFonts w:ascii="仿宋_GB2312" w:hAnsi="仿宋_GB2312" w:cs="仿宋_GB2312" w:eastAsia="仿宋_GB2312"/>
                      <w:sz w:val="24"/>
                      <w:color w:val="000000"/>
                    </w:rPr>
                    <w:t>患者宣教，系统支持新增宣教材料，新增宣教材料的形式包含：文字、图片、视频三种类别，可编辑、删除；支持对宣教材料进行分类</w:t>
                  </w:r>
                </w:p>
                <w:p>
                  <w:pPr>
                    <w:pStyle w:val="null3"/>
                    <w:ind w:firstLine="480"/>
                  </w:pPr>
                  <w:r>
                    <w:rPr>
                      <w:rFonts w:ascii="仿宋_GB2312" w:hAnsi="仿宋_GB2312" w:cs="仿宋_GB2312" w:eastAsia="仿宋_GB2312"/>
                      <w:sz w:val="24"/>
                      <w:color w:val="000000"/>
                    </w:rPr>
                    <w:t>存在问题及结果，根据随访结果，医生根据模版选择建议，护士根据模版选择建议，生成随访记录单。</w:t>
                  </w:r>
                </w:p>
                <w:p>
                  <w:pPr>
                    <w:pStyle w:val="null3"/>
                    <w:ind w:firstLine="480"/>
                  </w:pPr>
                  <w:r>
                    <w:rPr>
                      <w:rFonts w:ascii="仿宋_GB2312" w:hAnsi="仿宋_GB2312" w:cs="仿宋_GB2312" w:eastAsia="仿宋_GB2312"/>
                      <w:sz w:val="24"/>
                      <w:color w:val="000000"/>
                    </w:rPr>
                    <w:t>患者归属去向，根据本次随访结果，选择继续</w:t>
                  </w:r>
                  <w:r>
                    <w:rPr>
                      <w:rFonts w:ascii="仿宋_GB2312" w:hAnsi="仿宋_GB2312" w:cs="仿宋_GB2312" w:eastAsia="仿宋_GB2312"/>
                      <w:sz w:val="24"/>
                      <w:color w:val="000000"/>
                    </w:rPr>
                    <w:t>CKD随访或者转血液透析、肾移植等结案情况记录。如选择继续CKD随访，可直接预约下次随访日期及下次随访需要关注的内容。</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预约管理</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color w:val="000000"/>
                    </w:rPr>
                    <w:t>概览，</w:t>
                  </w:r>
                  <w:r>
                    <w:rPr>
                      <w:rFonts w:ascii="仿宋_GB2312" w:hAnsi="仿宋_GB2312" w:cs="仿宋_GB2312" w:eastAsia="仿宋_GB2312"/>
                      <w:sz w:val="24"/>
                      <w:color w:val="000000"/>
                    </w:rPr>
                    <w:t>根据科室随访门诊时间设定显示预约管理界面显示，可查看历史预约信息及随访记录，每天随访工作量可以良好管理。</w:t>
                  </w:r>
                </w:p>
                <w:p>
                  <w:pPr>
                    <w:pStyle w:val="null3"/>
                    <w:ind w:firstLine="480"/>
                  </w:pPr>
                  <w:r>
                    <w:rPr>
                      <w:rFonts w:ascii="仿宋_GB2312" w:hAnsi="仿宋_GB2312" w:cs="仿宋_GB2312" w:eastAsia="仿宋_GB2312"/>
                      <w:sz w:val="24"/>
                      <w:color w:val="000000"/>
                    </w:rPr>
                    <w:t>预约，</w:t>
                  </w:r>
                  <w:r>
                    <w:rPr>
                      <w:rFonts w:ascii="仿宋_GB2312" w:hAnsi="仿宋_GB2312" w:cs="仿宋_GB2312" w:eastAsia="仿宋_GB2312"/>
                      <w:sz w:val="24"/>
                      <w:color w:val="000000"/>
                    </w:rPr>
                    <w:t>根据</w:t>
                  </w:r>
                  <w:r>
                    <w:rPr>
                      <w:rFonts w:ascii="仿宋_GB2312" w:hAnsi="仿宋_GB2312" w:cs="仿宋_GB2312" w:eastAsia="仿宋_GB2312"/>
                      <w:sz w:val="24"/>
                      <w:color w:val="000000"/>
                    </w:rPr>
                    <w:t>预约</w:t>
                  </w:r>
                  <w:r>
                    <w:rPr>
                      <w:rFonts w:ascii="仿宋_GB2312" w:hAnsi="仿宋_GB2312" w:cs="仿宋_GB2312" w:eastAsia="仿宋_GB2312"/>
                      <w:sz w:val="24"/>
                      <w:color w:val="000000"/>
                    </w:rPr>
                    <w:t>随访计划，智能有序显示每日计划随访患者，</w:t>
                  </w:r>
                  <w:r>
                    <w:rPr>
                      <w:rFonts w:ascii="仿宋_GB2312" w:hAnsi="仿宋_GB2312" w:cs="仿宋_GB2312" w:eastAsia="仿宋_GB2312"/>
                      <w:sz w:val="24"/>
                      <w:color w:val="000000"/>
                    </w:rPr>
                    <w:t>已</w:t>
                  </w:r>
                  <w:r>
                    <w:rPr>
                      <w:rFonts w:ascii="仿宋_GB2312" w:hAnsi="仿宋_GB2312" w:cs="仿宋_GB2312" w:eastAsia="仿宋_GB2312"/>
                      <w:sz w:val="24"/>
                      <w:color w:val="000000"/>
                    </w:rPr>
                    <w:t>预约结果</w:t>
                  </w:r>
                  <w:r>
                    <w:rPr>
                      <w:rFonts w:ascii="仿宋_GB2312" w:hAnsi="仿宋_GB2312" w:cs="仿宋_GB2312" w:eastAsia="仿宋_GB2312"/>
                      <w:sz w:val="24"/>
                      <w:color w:val="000000"/>
                    </w:rPr>
                    <w:t>患者信息</w:t>
                  </w:r>
                  <w:r>
                    <w:rPr>
                      <w:rFonts w:ascii="仿宋_GB2312" w:hAnsi="仿宋_GB2312" w:cs="仿宋_GB2312" w:eastAsia="仿宋_GB2312"/>
                      <w:sz w:val="24"/>
                      <w:color w:val="000000"/>
                    </w:rPr>
                    <w:t>、预约成功</w:t>
                  </w:r>
                  <w:r>
                    <w:rPr>
                      <w:rFonts w:ascii="仿宋_GB2312" w:hAnsi="仿宋_GB2312" w:cs="仿宋_GB2312" w:eastAsia="仿宋_GB2312"/>
                      <w:sz w:val="24"/>
                      <w:color w:val="000000"/>
                    </w:rPr>
                    <w:t>患者信息</w:t>
                  </w:r>
                  <w:r>
                    <w:rPr>
                      <w:rFonts w:ascii="仿宋_GB2312" w:hAnsi="仿宋_GB2312" w:cs="仿宋_GB2312" w:eastAsia="仿宋_GB2312"/>
                      <w:sz w:val="24"/>
                      <w:color w:val="000000"/>
                    </w:rPr>
                    <w:t>、</w:t>
                  </w:r>
                  <w:r>
                    <w:rPr>
                      <w:rFonts w:ascii="仿宋_GB2312" w:hAnsi="仿宋_GB2312" w:cs="仿宋_GB2312" w:eastAsia="仿宋_GB2312"/>
                      <w:sz w:val="24"/>
                      <w:color w:val="000000"/>
                    </w:rPr>
                    <w:t>已通知患者信息</w:t>
                  </w:r>
                  <w:r>
                    <w:rPr>
                      <w:rFonts w:ascii="仿宋_GB2312" w:hAnsi="仿宋_GB2312" w:cs="仿宋_GB2312" w:eastAsia="仿宋_GB2312"/>
                      <w:sz w:val="24"/>
                      <w:color w:val="000000"/>
                    </w:rPr>
                    <w:t>、</w:t>
                  </w:r>
                  <w:r>
                    <w:rPr>
                      <w:rFonts w:ascii="仿宋_GB2312" w:hAnsi="仿宋_GB2312" w:cs="仿宋_GB2312" w:eastAsia="仿宋_GB2312"/>
                      <w:sz w:val="24"/>
                      <w:color w:val="000000"/>
                    </w:rPr>
                    <w:t>取消预约</w:t>
                  </w:r>
                  <w:r>
                    <w:rPr>
                      <w:rFonts w:ascii="仿宋_GB2312" w:hAnsi="仿宋_GB2312" w:cs="仿宋_GB2312" w:eastAsia="仿宋_GB2312"/>
                      <w:sz w:val="24"/>
                      <w:color w:val="000000"/>
                    </w:rPr>
                    <w:t>随访</w:t>
                  </w:r>
                  <w:r>
                    <w:rPr>
                      <w:rFonts w:ascii="仿宋_GB2312" w:hAnsi="仿宋_GB2312" w:cs="仿宋_GB2312" w:eastAsia="仿宋_GB2312"/>
                      <w:sz w:val="24"/>
                      <w:color w:val="000000"/>
                    </w:rPr>
                    <w:t>患者信息</w:t>
                  </w:r>
                  <w:r>
                    <w:rPr>
                      <w:rFonts w:ascii="仿宋_GB2312" w:hAnsi="仿宋_GB2312" w:cs="仿宋_GB2312" w:eastAsia="仿宋_GB2312"/>
                      <w:sz w:val="24"/>
                      <w:color w:val="000000"/>
                    </w:rPr>
                    <w:t>，均通过图标或颜色区分标识；</w:t>
                  </w:r>
                </w:p>
                <w:p>
                  <w:pPr>
                    <w:pStyle w:val="null3"/>
                    <w:ind w:firstLine="480"/>
                  </w:pPr>
                  <w:r>
                    <w:rPr>
                      <w:rFonts w:ascii="仿宋_GB2312" w:hAnsi="仿宋_GB2312" w:cs="仿宋_GB2312" w:eastAsia="仿宋_GB2312"/>
                      <w:sz w:val="24"/>
                      <w:color w:val="000000"/>
                    </w:rPr>
                    <w:t>通知显示，系统自动推出预约日期、联系电话，支持编辑通知具体时间，随访类型，根据预约通知模版选择需要通知内容。</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评估内容统计查询</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color w:val="000000"/>
                    </w:rPr>
                    <w:t>支持根据时间、分类名称、患者姓名查询评估内容，支持评估内容导出。</w:t>
                  </w:r>
                </w:p>
                <w:p>
                  <w:pPr>
                    <w:pStyle w:val="null3"/>
                    <w:ind w:firstLine="480"/>
                  </w:pPr>
                  <w:r>
                    <w:rPr>
                      <w:rFonts w:ascii="仿宋_GB2312" w:hAnsi="仿宋_GB2312" w:cs="仿宋_GB2312" w:eastAsia="仿宋_GB2312"/>
                      <w:sz w:val="24"/>
                      <w:color w:val="000000"/>
                    </w:rPr>
                    <w:t>支持根据评估分类项目，患者项目进行结果变化查询。</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结案登记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color w:val="000000"/>
                    </w:rPr>
                    <w:t>支持根据患者姓名、患者状态、患者标签进行结案登记的查询，支持对患者结案情况的修改、转入组登记、撤销等操作。</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随访记录查询</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color w:val="000000"/>
                    </w:rPr>
                    <w:t>支持对任意时间、任意随访类型的查询；支持随访记录单详细信息的查看，报告单的查询，用药单的查询；</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分析统计管理</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color w:val="000000"/>
                    </w:rPr>
                    <w:t>患者质量指标分析</w:t>
                  </w:r>
                </w:p>
                <w:p>
                  <w:pPr>
                    <w:pStyle w:val="null3"/>
                    <w:ind w:firstLine="480"/>
                  </w:pPr>
                  <w:r>
                    <w:rPr>
                      <w:rFonts w:ascii="仿宋_GB2312" w:hAnsi="仿宋_GB2312" w:cs="仿宋_GB2312" w:eastAsia="仿宋_GB2312"/>
                      <w:sz w:val="24"/>
                      <w:color w:val="000000"/>
                    </w:rPr>
                    <w:t>支持新增患者慢性肾脏病分期情况分析、随访患者年龄情况分析、随访患者性别情况分析、随访患者医保情况分析、随访患者慢性肾脏病分期情况分析查询；</w:t>
                  </w:r>
                </w:p>
                <w:p>
                  <w:pPr>
                    <w:pStyle w:val="null3"/>
                    <w:ind w:firstLine="480"/>
                  </w:pPr>
                  <w:r>
                    <w:rPr>
                      <w:rFonts w:ascii="仿宋_GB2312" w:hAnsi="仿宋_GB2312" w:cs="仿宋_GB2312" w:eastAsia="仿宋_GB2312"/>
                      <w:sz w:val="24"/>
                      <w:color w:val="000000"/>
                    </w:rPr>
                    <w:t>支持任意月、季度、年的时间选择，支持柱状图、饼状图的展示，并支持图表数据的详细查询，查询信息包括患者</w:t>
                  </w:r>
                  <w:r>
                    <w:rPr>
                      <w:rFonts w:ascii="仿宋_GB2312" w:hAnsi="仿宋_GB2312" w:cs="仿宋_GB2312" w:eastAsia="仿宋_GB2312"/>
                      <w:sz w:val="24"/>
                      <w:color w:val="000000"/>
                    </w:rPr>
                    <w:t>ID、姓名、随访医生、随访类型、性别等信息；</w:t>
                  </w:r>
                </w:p>
                <w:p>
                  <w:pPr>
                    <w:pStyle w:val="null3"/>
                    <w:ind w:firstLine="480"/>
                  </w:pPr>
                  <w:r>
                    <w:rPr>
                      <w:rFonts w:ascii="仿宋_GB2312" w:hAnsi="仿宋_GB2312" w:cs="仿宋_GB2312" w:eastAsia="仿宋_GB2312"/>
                      <w:sz w:val="24"/>
                      <w:b/>
                      <w:color w:val="000000"/>
                    </w:rPr>
                    <w:t>▲</w:t>
                  </w:r>
                  <w:r>
                    <w:rPr>
                      <w:rFonts w:ascii="仿宋_GB2312" w:hAnsi="仿宋_GB2312" w:cs="仿宋_GB2312" w:eastAsia="仿宋_GB2312"/>
                      <w:sz w:val="24"/>
                      <w:color w:val="000000"/>
                    </w:rPr>
                    <w:t>支持IgA肾病质控指标</w:t>
                  </w:r>
                </w:p>
                <w:p>
                  <w:pPr>
                    <w:pStyle w:val="null3"/>
                    <w:ind w:firstLine="480"/>
                  </w:pPr>
                  <w:r>
                    <w:rPr>
                      <w:rFonts w:ascii="仿宋_GB2312" w:hAnsi="仿宋_GB2312" w:cs="仿宋_GB2312" w:eastAsia="仿宋_GB2312"/>
                      <w:sz w:val="24"/>
                      <w:b/>
                      <w:color w:val="000000"/>
                    </w:rPr>
                    <w:t>▲</w:t>
                  </w:r>
                  <w:r>
                    <w:rPr>
                      <w:rFonts w:ascii="仿宋_GB2312" w:hAnsi="仿宋_GB2312" w:cs="仿宋_GB2312" w:eastAsia="仿宋_GB2312"/>
                      <w:sz w:val="24"/>
                      <w:color w:val="000000"/>
                    </w:rPr>
                    <w:t>肾活检患者术前检查完成率</w:t>
                  </w:r>
                  <w:r>
                    <w:rPr>
                      <w:rFonts w:ascii="仿宋_GB2312" w:hAnsi="仿宋_GB2312" w:cs="仿宋_GB2312" w:eastAsia="仿宋_GB2312"/>
                      <w:sz w:val="24"/>
                      <w:color w:val="000000"/>
                    </w:rPr>
                    <w:t>、肾脏病理切片染色规范率、</w:t>
                  </w:r>
                  <w:r>
                    <w:rPr>
                      <w:rFonts w:ascii="仿宋_GB2312" w:hAnsi="仿宋_GB2312" w:cs="仿宋_GB2312" w:eastAsia="仿宋_GB2312"/>
                      <w:sz w:val="24"/>
                      <w:color w:val="000000"/>
                    </w:rPr>
                    <w:t>IgA肾病患者病理分型诊断率、IgA肾病患者RAS阻断剂的使用率、IgA肾病患者随访完成率、IgA肾病患者血压控制达标率、肾功能恶化率、治疗6个月后24小时尿蛋白&lt;1g的患者比例、肾活检严重并发症发生率、激素、免疫抑制剂治疗的严重并发症发生率</w:t>
                  </w:r>
                </w:p>
                <w:p>
                  <w:pPr>
                    <w:pStyle w:val="null3"/>
                    <w:numPr>
                      <w:ilvl w:val="0"/>
                      <w:numId w:val="1"/>
                    </w:numPr>
                  </w:pPr>
                  <w:r>
                    <w:rPr>
                      <w:rFonts w:ascii="仿宋_GB2312" w:hAnsi="仿宋_GB2312" w:cs="仿宋_GB2312" w:eastAsia="仿宋_GB2312"/>
                      <w:sz w:val="24"/>
                      <w:color w:val="000000"/>
                    </w:rPr>
                    <w:t>检验质量指标分析</w:t>
                  </w:r>
                </w:p>
                <w:p>
                  <w:pPr>
                    <w:pStyle w:val="null3"/>
                    <w:ind w:firstLine="480"/>
                  </w:pPr>
                  <w:r>
                    <w:rPr>
                      <w:rFonts w:ascii="仿宋_GB2312" w:hAnsi="仿宋_GB2312" w:cs="仿宋_GB2312" w:eastAsia="仿宋_GB2312"/>
                      <w:sz w:val="24"/>
                      <w:color w:val="000000"/>
                    </w:rPr>
                    <w:t>血红蛋白达标情况分析</w:t>
                  </w:r>
                  <w:r>
                    <w:rPr>
                      <w:rFonts w:ascii="仿宋_GB2312" w:hAnsi="仿宋_GB2312" w:cs="仿宋_GB2312" w:eastAsia="仿宋_GB2312"/>
                      <w:sz w:val="24"/>
                      <w:color w:val="000000"/>
                    </w:rPr>
                    <w:t>、</w:t>
                  </w:r>
                  <w:r>
                    <w:rPr>
                      <w:rFonts w:ascii="仿宋_GB2312" w:hAnsi="仿宋_GB2312" w:cs="仿宋_GB2312" w:eastAsia="仿宋_GB2312"/>
                      <w:sz w:val="24"/>
                      <w:color w:val="000000"/>
                    </w:rPr>
                    <w:t>血钙达标情况分析</w:t>
                  </w:r>
                  <w:r>
                    <w:rPr>
                      <w:rFonts w:ascii="仿宋_GB2312" w:hAnsi="仿宋_GB2312" w:cs="仿宋_GB2312" w:eastAsia="仿宋_GB2312"/>
                      <w:sz w:val="24"/>
                      <w:color w:val="000000"/>
                    </w:rPr>
                    <w:t>、</w:t>
                  </w:r>
                  <w:r>
                    <w:rPr>
                      <w:rFonts w:ascii="仿宋_GB2312" w:hAnsi="仿宋_GB2312" w:cs="仿宋_GB2312" w:eastAsia="仿宋_GB2312"/>
                      <w:sz w:val="24"/>
                      <w:color w:val="000000"/>
                    </w:rPr>
                    <w:t>血磷达标情况分析</w:t>
                  </w:r>
                  <w:r>
                    <w:rPr>
                      <w:rFonts w:ascii="仿宋_GB2312" w:hAnsi="仿宋_GB2312" w:cs="仿宋_GB2312" w:eastAsia="仿宋_GB2312"/>
                      <w:sz w:val="24"/>
                      <w:color w:val="000000"/>
                    </w:rPr>
                    <w:t>、</w:t>
                  </w:r>
                  <w:r>
                    <w:rPr>
                      <w:rFonts w:ascii="仿宋_GB2312" w:hAnsi="仿宋_GB2312" w:cs="仿宋_GB2312" w:eastAsia="仿宋_GB2312"/>
                      <w:sz w:val="24"/>
                      <w:color w:val="000000"/>
                    </w:rPr>
                    <w:t>甲状旁腺素达标情况分析</w:t>
                  </w:r>
                  <w:r>
                    <w:rPr>
                      <w:rFonts w:ascii="仿宋_GB2312" w:hAnsi="仿宋_GB2312" w:cs="仿宋_GB2312" w:eastAsia="仿宋_GB2312"/>
                      <w:sz w:val="24"/>
                      <w:color w:val="000000"/>
                    </w:rPr>
                    <w:t>、</w:t>
                  </w:r>
                  <w:r>
                    <w:rPr>
                      <w:rFonts w:ascii="仿宋_GB2312" w:hAnsi="仿宋_GB2312" w:cs="仿宋_GB2312" w:eastAsia="仿宋_GB2312"/>
                      <w:sz w:val="24"/>
                      <w:color w:val="000000"/>
                    </w:rPr>
                    <w:t>舒张压达标情况分析</w:t>
                  </w:r>
                  <w:r>
                    <w:rPr>
                      <w:rFonts w:ascii="仿宋_GB2312" w:hAnsi="仿宋_GB2312" w:cs="仿宋_GB2312" w:eastAsia="仿宋_GB2312"/>
                      <w:sz w:val="24"/>
                      <w:color w:val="000000"/>
                    </w:rPr>
                    <w:t>、</w:t>
                  </w:r>
                  <w:r>
                    <w:rPr>
                      <w:rFonts w:ascii="仿宋_GB2312" w:hAnsi="仿宋_GB2312" w:cs="仿宋_GB2312" w:eastAsia="仿宋_GB2312"/>
                      <w:sz w:val="24"/>
                      <w:color w:val="000000"/>
                    </w:rPr>
                    <w:t>收缩压达标情况分析</w:t>
                  </w:r>
                  <w:r>
                    <w:rPr>
                      <w:rFonts w:ascii="仿宋_GB2312" w:hAnsi="仿宋_GB2312" w:cs="仿宋_GB2312" w:eastAsia="仿宋_GB2312"/>
                      <w:sz w:val="24"/>
                      <w:color w:val="000000"/>
                    </w:rPr>
                    <w:t>、</w:t>
                  </w:r>
                  <w:r>
                    <w:rPr>
                      <w:rFonts w:ascii="仿宋_GB2312" w:hAnsi="仿宋_GB2312" w:cs="仿宋_GB2312" w:eastAsia="仿宋_GB2312"/>
                      <w:sz w:val="24"/>
                      <w:color w:val="000000"/>
                    </w:rPr>
                    <w:t>IgA肾病质控统计分析</w:t>
                  </w:r>
                  <w:r>
                    <w:rPr>
                      <w:rFonts w:ascii="仿宋_GB2312" w:hAnsi="仿宋_GB2312" w:cs="仿宋_GB2312" w:eastAsia="仿宋_GB2312"/>
                      <w:sz w:val="24"/>
                      <w:color w:val="000000"/>
                    </w:rPr>
                    <w:t>、</w:t>
                  </w:r>
                  <w:r>
                    <w:rPr>
                      <w:rFonts w:ascii="仿宋_GB2312" w:hAnsi="仿宋_GB2312" w:cs="仿宋_GB2312" w:eastAsia="仿宋_GB2312"/>
                      <w:sz w:val="24"/>
                      <w:color w:val="000000"/>
                    </w:rPr>
                    <w:t>随访完成率统计分析</w:t>
                  </w:r>
                  <w:r>
                    <w:rPr>
                      <w:rFonts w:ascii="仿宋_GB2312" w:hAnsi="仿宋_GB2312" w:cs="仿宋_GB2312" w:eastAsia="仿宋_GB2312"/>
                      <w:sz w:val="24"/>
                      <w:color w:val="000000"/>
                    </w:rPr>
                    <w:t>查询；</w:t>
                  </w:r>
                </w:p>
                <w:p>
                  <w:pPr>
                    <w:pStyle w:val="null3"/>
                    <w:ind w:firstLine="480"/>
                  </w:pPr>
                  <w:r>
                    <w:rPr>
                      <w:rFonts w:ascii="仿宋_GB2312" w:hAnsi="仿宋_GB2312" w:cs="仿宋_GB2312" w:eastAsia="仿宋_GB2312"/>
                      <w:sz w:val="24"/>
                      <w:color w:val="000000"/>
                    </w:rPr>
                    <w:t>支持任意月、季度、年的时间选择，支持柱状图、饼状图的展示，并支持图表数据的详细查询，查询信息包括患者</w:t>
                  </w:r>
                  <w:r>
                    <w:rPr>
                      <w:rFonts w:ascii="仿宋_GB2312" w:hAnsi="仿宋_GB2312" w:cs="仿宋_GB2312" w:eastAsia="仿宋_GB2312"/>
                      <w:sz w:val="24"/>
                      <w:color w:val="000000"/>
                    </w:rPr>
                    <w:t>ID、姓名、随访医生、随访类型、性别等信息；</w:t>
                  </w:r>
                </w:p>
                <w:p>
                  <w:pPr>
                    <w:pStyle w:val="null3"/>
                    <w:numPr>
                      <w:ilvl w:val="0"/>
                      <w:numId w:val="1"/>
                    </w:numPr>
                  </w:pPr>
                  <w:r>
                    <w:rPr>
                      <w:rFonts w:ascii="仿宋_GB2312" w:hAnsi="仿宋_GB2312" w:cs="仿宋_GB2312" w:eastAsia="仿宋_GB2312"/>
                      <w:sz w:val="24"/>
                      <w:color w:val="000000"/>
                    </w:rPr>
                    <w:t>统计查询</w:t>
                  </w:r>
                </w:p>
                <w:p>
                  <w:pPr>
                    <w:pStyle w:val="null3"/>
                    <w:ind w:firstLine="480"/>
                  </w:pPr>
                  <w:r>
                    <w:rPr>
                      <w:rFonts w:ascii="仿宋_GB2312" w:hAnsi="仿宋_GB2312" w:cs="仿宋_GB2312" w:eastAsia="仿宋_GB2312"/>
                      <w:sz w:val="24"/>
                      <w:color w:val="000000"/>
                    </w:rPr>
                    <w:t>支持自定义根据患者信息、医疗信息、患者肾穿刺信息、患者甲状旁腺术后、体格检查设置不同模版，根据不同设置模版查询信息，并支持所有信息的导出。</w:t>
                  </w:r>
                </w:p>
                <w:p>
                  <w:pPr>
                    <w:pStyle w:val="null3"/>
                    <w:numPr>
                      <w:ilvl w:val="0"/>
                      <w:numId w:val="1"/>
                    </w:numPr>
                  </w:pPr>
                  <w:r>
                    <w:rPr>
                      <w:rFonts w:ascii="仿宋_GB2312" w:hAnsi="仿宋_GB2312" w:cs="仿宋_GB2312" w:eastAsia="仿宋_GB2312"/>
                      <w:sz w:val="24"/>
                      <w:color w:val="000000"/>
                    </w:rPr>
                    <w:t>报表浏览</w:t>
                  </w:r>
                </w:p>
                <w:p>
                  <w:pPr>
                    <w:pStyle w:val="null3"/>
                    <w:ind w:firstLine="480"/>
                  </w:pPr>
                  <w:r>
                    <w:rPr>
                      <w:rFonts w:ascii="仿宋_GB2312" w:hAnsi="仿宋_GB2312" w:cs="仿宋_GB2312" w:eastAsia="仿宋_GB2312"/>
                      <w:sz w:val="24"/>
                      <w:color w:val="000000"/>
                    </w:rPr>
                    <w:t>根据</w:t>
                  </w:r>
                  <w:r>
                    <w:rPr>
                      <w:rFonts w:ascii="仿宋_GB2312" w:hAnsi="仿宋_GB2312" w:cs="仿宋_GB2312" w:eastAsia="仿宋_GB2312"/>
                      <w:sz w:val="24"/>
                      <w:color w:val="000000"/>
                    </w:rPr>
                    <w:t>CKD饮食回顾查询</w:t>
                  </w:r>
                  <w:r>
                    <w:rPr>
                      <w:rFonts w:ascii="仿宋_GB2312" w:hAnsi="仿宋_GB2312" w:cs="仿宋_GB2312" w:eastAsia="仿宋_GB2312"/>
                      <w:sz w:val="24"/>
                      <w:color w:val="000000"/>
                    </w:rPr>
                    <w:t>、</w:t>
                  </w:r>
                  <w:r>
                    <w:rPr>
                      <w:rFonts w:ascii="仿宋_GB2312" w:hAnsi="仿宋_GB2312" w:cs="仿宋_GB2312" w:eastAsia="仿宋_GB2312"/>
                      <w:sz w:val="24"/>
                      <w:color w:val="000000"/>
                    </w:rPr>
                    <w:t>CKD年随访情况查询</w:t>
                  </w:r>
                  <w:r>
                    <w:rPr>
                      <w:rFonts w:ascii="仿宋_GB2312" w:hAnsi="仿宋_GB2312" w:cs="仿宋_GB2312" w:eastAsia="仿宋_GB2312"/>
                      <w:sz w:val="24"/>
                      <w:color w:val="000000"/>
                    </w:rPr>
                    <w:t>、</w:t>
                  </w:r>
                  <w:r>
                    <w:rPr>
                      <w:rFonts w:ascii="仿宋_GB2312" w:hAnsi="仿宋_GB2312" w:cs="仿宋_GB2312" w:eastAsia="仿宋_GB2312"/>
                      <w:sz w:val="24"/>
                      <w:color w:val="000000"/>
                    </w:rPr>
                    <w:t>肾脏替代治疗转归分布</w:t>
                  </w:r>
                  <w:r>
                    <w:rPr>
                      <w:rFonts w:ascii="仿宋_GB2312" w:hAnsi="仿宋_GB2312" w:cs="仿宋_GB2312" w:eastAsia="仿宋_GB2312"/>
                      <w:sz w:val="24"/>
                      <w:color w:val="000000"/>
                    </w:rPr>
                    <w:t>、</w:t>
                  </w:r>
                  <w:r>
                    <w:rPr>
                      <w:rFonts w:ascii="仿宋_GB2312" w:hAnsi="仿宋_GB2312" w:cs="仿宋_GB2312" w:eastAsia="仿宋_GB2312"/>
                      <w:sz w:val="24"/>
                      <w:color w:val="000000"/>
                    </w:rPr>
                    <w:t>甲旁切手术患者年例数统计</w:t>
                  </w:r>
                  <w:r>
                    <w:rPr>
                      <w:rFonts w:ascii="仿宋_GB2312" w:hAnsi="仿宋_GB2312" w:cs="仿宋_GB2312" w:eastAsia="仿宋_GB2312"/>
                      <w:sz w:val="24"/>
                      <w:color w:val="000000"/>
                    </w:rPr>
                    <w:t>查询不同时间，不同患者信息。并支持查询信息的导出。</w:t>
                  </w:r>
                </w:p>
                <w:p>
                  <w:pPr>
                    <w:pStyle w:val="null3"/>
                    <w:ind w:firstLine="480"/>
                  </w:pPr>
                  <w:r>
                    <w:rPr>
                      <w:rFonts w:ascii="仿宋_GB2312" w:hAnsi="仿宋_GB2312" w:cs="仿宋_GB2312" w:eastAsia="仿宋_GB2312"/>
                      <w:sz w:val="24"/>
                      <w:color w:val="000000"/>
                    </w:rPr>
                    <w:t>5、支持新增的入围条件，根据科室需求选择统计药物治疗，比如降压治疗、纠正贫血治疗、保肾治疗等。</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系统</w:t>
                  </w:r>
                  <w:r>
                    <w:rPr>
                      <w:rFonts w:ascii="仿宋_GB2312" w:hAnsi="仿宋_GB2312" w:cs="仿宋_GB2312" w:eastAsia="仿宋_GB2312"/>
                      <w:sz w:val="24"/>
                      <w:b/>
                      <w:color w:val="000000"/>
                    </w:rPr>
                    <w:t>权限</w:t>
                  </w:r>
                  <w:r>
                    <w:rPr>
                      <w:rFonts w:ascii="仿宋_GB2312" w:hAnsi="仿宋_GB2312" w:cs="仿宋_GB2312" w:eastAsia="仿宋_GB2312"/>
                      <w:sz w:val="24"/>
                      <w:b/>
                      <w:color w:val="000000"/>
                    </w:rPr>
                    <w:t>管理</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1、用户管理,支持在用户添加管理时对状态的选择，对角色的分配。</w:t>
                  </w:r>
                </w:p>
                <w:p>
                  <w:pPr>
                    <w:pStyle w:val="null3"/>
                  </w:pPr>
                  <w:r>
                    <w:rPr>
                      <w:rFonts w:ascii="仿宋_GB2312" w:hAnsi="仿宋_GB2312" w:cs="仿宋_GB2312" w:eastAsia="仿宋_GB2312"/>
                      <w:sz w:val="24"/>
                      <w:color w:val="000000"/>
                    </w:rPr>
                    <w:t>2、菜单权限管理，支持对顶部菜单、侧边菜单的选择。</w:t>
                  </w:r>
                </w:p>
                <w:p>
                  <w:pPr>
                    <w:pStyle w:val="null3"/>
                  </w:pPr>
                  <w:r>
                    <w:rPr>
                      <w:rFonts w:ascii="仿宋_GB2312" w:hAnsi="仿宋_GB2312" w:cs="仿宋_GB2312" w:eastAsia="仿宋_GB2312"/>
                      <w:sz w:val="24"/>
                      <w:color w:val="000000"/>
                    </w:rPr>
                    <w:t>3、角色权限管理，支持科室新角色的添加，支持对新增角色的功能菜单的独立管理。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患者端</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color w:val="000000"/>
                    </w:rPr>
                    <w:t>个人资料</w:t>
                  </w:r>
                </w:p>
                <w:p>
                  <w:pPr>
                    <w:pStyle w:val="null3"/>
                    <w:ind w:firstLine="480"/>
                  </w:pPr>
                  <w:r>
                    <w:rPr>
                      <w:rFonts w:ascii="仿宋_GB2312" w:hAnsi="仿宋_GB2312" w:cs="仿宋_GB2312" w:eastAsia="仿宋_GB2312"/>
                      <w:sz w:val="24"/>
                      <w:color w:val="000000"/>
                    </w:rPr>
                    <w:t>查看患者基本信息，查询已绑定微信小程序名单列表，未绑定微信小程序名单列表。</w:t>
                  </w:r>
                </w:p>
                <w:p>
                  <w:pPr>
                    <w:pStyle w:val="null3"/>
                    <w:ind w:firstLine="480"/>
                  </w:pPr>
                  <w:r>
                    <w:rPr>
                      <w:rFonts w:ascii="仿宋_GB2312" w:hAnsi="仿宋_GB2312" w:cs="仿宋_GB2312" w:eastAsia="仿宋_GB2312"/>
                      <w:sz w:val="24"/>
                      <w:color w:val="000000"/>
                    </w:rPr>
                    <w:t>2、自我监测，监测血压、血糖、脱水量、24h尿量、饮食、运动，支持患者在任何环境录入信息，系统将自动提取患者录入的自我监信息。</w:t>
                  </w:r>
                </w:p>
                <w:p>
                  <w:pPr>
                    <w:pStyle w:val="null3"/>
                    <w:ind w:firstLine="480"/>
                  </w:pPr>
                  <w:r>
                    <w:rPr>
                      <w:rFonts w:ascii="仿宋_GB2312" w:hAnsi="仿宋_GB2312" w:cs="仿宋_GB2312" w:eastAsia="仿宋_GB2312"/>
                      <w:sz w:val="24"/>
                      <w:color w:val="000000"/>
                    </w:rPr>
                    <w:t>3、健康宣教，展示所有患者宣教明细及个人宣教明细，支持详情查看、编辑及删除，支持查看宣教的完成率及宣教人员信息。系统将健康宣教内容自动推送给患者端。并根据患者是否阅读，系统给以状态显示。</w:t>
                  </w:r>
                </w:p>
                <w:p>
                  <w:pPr>
                    <w:pStyle w:val="null3"/>
                    <w:ind w:firstLine="480"/>
                  </w:pPr>
                  <w:r>
                    <w:rPr>
                      <w:rFonts w:ascii="仿宋_GB2312" w:hAnsi="仿宋_GB2312" w:cs="仿宋_GB2312" w:eastAsia="仿宋_GB2312"/>
                      <w:sz w:val="24"/>
                      <w:b/>
                      <w:color w:val="000000"/>
                    </w:rPr>
                    <w:t>▲</w:t>
                  </w:r>
                  <w:r>
                    <w:rPr>
                      <w:rFonts w:ascii="仿宋_GB2312" w:hAnsi="仿宋_GB2312" w:cs="仿宋_GB2312" w:eastAsia="仿宋_GB2312"/>
                      <w:sz w:val="24"/>
                      <w:color w:val="000000"/>
                    </w:rPr>
                    <w:t>4、通知建议</w:t>
                  </w:r>
                </w:p>
                <w:p>
                  <w:pPr>
                    <w:pStyle w:val="null3"/>
                    <w:ind w:firstLine="480"/>
                  </w:pPr>
                  <w:r>
                    <w:rPr>
                      <w:rFonts w:ascii="仿宋_GB2312" w:hAnsi="仿宋_GB2312" w:cs="仿宋_GB2312" w:eastAsia="仿宋_GB2312"/>
                      <w:sz w:val="24"/>
                      <w:color w:val="000000"/>
                    </w:rPr>
                    <w:t>通知，展示所有患者通知明细及个人通知明细，支持详情查看、编辑及删除，支持查看通知的完成率、通知时间、标题、分类等信息。系统将通知建议自动提取推送给患者端。并根据患者是否阅读，系统给以状态显示。</w:t>
                  </w:r>
                </w:p>
                <w:p>
                  <w:pPr>
                    <w:pStyle w:val="null3"/>
                    <w:ind w:firstLine="480"/>
                  </w:pPr>
                  <w:r>
                    <w:rPr>
                      <w:rFonts w:ascii="仿宋_GB2312" w:hAnsi="仿宋_GB2312" w:cs="仿宋_GB2312" w:eastAsia="仿宋_GB2312"/>
                      <w:sz w:val="24"/>
                      <w:color w:val="000000"/>
                    </w:rPr>
                    <w:t>5、问卷评估</w:t>
                  </w:r>
                </w:p>
                <w:p>
                  <w:pPr>
                    <w:pStyle w:val="null3"/>
                    <w:ind w:firstLine="480"/>
                  </w:pPr>
                  <w:r>
                    <w:rPr>
                      <w:rFonts w:ascii="仿宋_GB2312" w:hAnsi="仿宋_GB2312" w:cs="仿宋_GB2312" w:eastAsia="仿宋_GB2312"/>
                      <w:sz w:val="24"/>
                      <w:color w:val="000000"/>
                    </w:rPr>
                    <w:t>展示所有患者问卷评估明细及个人问卷评估明细，支持详情查看、编辑及删除，支持查看问卷评估的完成率、评估时段、名称、评估人员等信息。系统将问卷评估自动推送给患者端。并根据患者是否填写，系统给以状态显示。</w:t>
                  </w:r>
                </w:p>
                <w:p>
                  <w:pPr>
                    <w:pStyle w:val="null3"/>
                    <w:ind w:firstLine="480"/>
                  </w:pPr>
                  <w:r>
                    <w:rPr>
                      <w:rFonts w:ascii="仿宋_GB2312" w:hAnsi="仿宋_GB2312" w:cs="仿宋_GB2312" w:eastAsia="仿宋_GB2312"/>
                      <w:sz w:val="24"/>
                      <w:color w:val="000000"/>
                    </w:rPr>
                    <w:t>6、根据医生开具用药的服用方式，提醒患者用药。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接口设计</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b/>
                      <w:color w:val="000000"/>
                    </w:rPr>
                    <w:t>完成</w:t>
                  </w:r>
                  <w:r>
                    <w:rPr>
                      <w:rFonts w:ascii="仿宋_GB2312" w:hAnsi="仿宋_GB2312" w:cs="仿宋_GB2312" w:eastAsia="仿宋_GB2312"/>
                      <w:sz w:val="24"/>
                      <w:b/>
                      <w:color w:val="000000"/>
                    </w:rPr>
                    <w:t>HIS、LIS对接或者从集成平台系统上获取数据，实现：</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单向拉取患者的基本信息</w:t>
                  </w:r>
                  <w:r>
                    <w:rPr>
                      <w:rFonts w:ascii="仿宋_GB2312" w:hAnsi="仿宋_GB2312" w:cs="仿宋_GB2312" w:eastAsia="仿宋_GB2312"/>
                      <w:sz w:val="24"/>
                      <w:color w:val="000000"/>
                    </w:rPr>
                    <w:t>、化验信息</w:t>
                  </w:r>
                  <w:r>
                    <w:rPr>
                      <w:rFonts w:ascii="仿宋_GB2312" w:hAnsi="仿宋_GB2312" w:cs="仿宋_GB2312" w:eastAsia="仿宋_GB2312"/>
                      <w:sz w:val="24"/>
                    </w:rPr>
                    <w:t>、</w:t>
                  </w:r>
                  <w:r>
                    <w:rPr>
                      <w:rFonts w:ascii="仿宋_GB2312" w:hAnsi="仿宋_GB2312" w:cs="仿宋_GB2312" w:eastAsia="仿宋_GB2312"/>
                      <w:sz w:val="24"/>
                      <w:color w:val="000000"/>
                    </w:rPr>
                    <w:t>门诊处方、住院医嘱等；</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与主流数据库实现数据对接</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sz w:val="32"/>
                <w:b/>
              </w:rPr>
              <w:t>3.2</w:t>
            </w:r>
            <w:r>
              <w:rPr>
                <w:rFonts w:ascii="仿宋_GB2312" w:hAnsi="仿宋_GB2312" w:cs="仿宋_GB2312" w:eastAsia="仿宋_GB2312"/>
                <w:sz w:val="32"/>
                <w:b/>
              </w:rPr>
              <w:t>腹膜透析智能管理系统</w:t>
            </w:r>
          </w:p>
          <w:tbl>
            <w:tblPr>
              <w:tblBorders>
                <w:top w:val="none" w:color="000000" w:sz="4"/>
                <w:left w:val="none" w:color="000000" w:sz="4"/>
                <w:bottom w:val="none" w:color="000000" w:sz="4"/>
                <w:right w:val="none" w:color="000000" w:sz="4"/>
                <w:insideH w:val="none"/>
                <w:insideV w:val="none"/>
              </w:tblBorders>
            </w:tblPr>
            <w:tblGrid>
              <w:gridCol w:w="209"/>
              <w:gridCol w:w="332"/>
              <w:gridCol w:w="2006"/>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模块名称</w:t>
                  </w:r>
                </w:p>
              </w:tc>
              <w:tc>
                <w:tcPr>
                  <w:tcW w:type="dxa" w:w="2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b/>
                      <w:color w:val="000000"/>
                    </w:rPr>
                    <w:t>技术要求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首页概览</w:t>
                  </w:r>
                </w:p>
                <w:p>
                  <w:pPr>
                    <w:pStyle w:val="null3"/>
                    <w:jc w:val="center"/>
                  </w:pP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1.1、支持添加患者基本信息，支持通过His查询提取全院患者信息，支持添加患者随访分级、随访时间、随访周期；查询患者当前类型及有无逾期未进行门诊随诊，当有逾期提示逾期天数。</w:t>
                  </w:r>
                </w:p>
                <w:p>
                  <w:pPr>
                    <w:pStyle w:val="null3"/>
                  </w:pPr>
                  <w:r>
                    <w:rPr>
                      <w:rFonts w:ascii="仿宋_GB2312" w:hAnsi="仿宋_GB2312" w:cs="仿宋_GB2312" w:eastAsia="仿宋_GB2312"/>
                      <w:sz w:val="24"/>
                    </w:rPr>
                    <w:t>1.2、支持快速浏览患者当前腹膜透析模式，腹透液浓度，腹透液关注量、流出量，每天超滤总量，留腹时间等腹膜透析处方及并发症事件等。</w:t>
                  </w:r>
                </w:p>
                <w:p>
                  <w:pPr>
                    <w:pStyle w:val="null3"/>
                  </w:pPr>
                  <w:r>
                    <w:rPr>
                      <w:rFonts w:ascii="仿宋_GB2312" w:hAnsi="仿宋_GB2312" w:cs="仿宋_GB2312" w:eastAsia="仿宋_GB2312"/>
                      <w:sz w:val="24"/>
                    </w:rPr>
                    <w:t>1.3、根据患者情况设置患者状态：如居家，失访，住院，并根据患者状态设置不同相关信息；根据患者住院、居家、转院、失访、死亡、退出等类型进行筛选，方便科室进行查询。并快捷展示在治，住院、居家、转院、失访、死亡、退出等患者类型的数量</w:t>
                  </w:r>
                </w:p>
                <w:p>
                  <w:pPr>
                    <w:pStyle w:val="null3"/>
                  </w:pPr>
                  <w:r>
                    <w:rPr>
                      <w:rFonts w:ascii="仿宋_GB2312" w:hAnsi="仿宋_GB2312" w:cs="仿宋_GB2312" w:eastAsia="仿宋_GB2312"/>
                      <w:sz w:val="24"/>
                    </w:rPr>
                    <w:t>1.4、通过患者列表可以便捷操作电话随访、门诊/随诊、设置PD处方、患者属性设置；随访历史查询、并发症处置、腹透液开单、随诊预约。</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患者信息</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电子病历包括患者基本信息，社保信息，科室信息，医疗信息，患者既往病史，传染病史，疾病诊断，患者转归等。</w:t>
                  </w:r>
                </w:p>
                <w:p>
                  <w:pPr>
                    <w:pStyle w:val="null3"/>
                  </w:pPr>
                  <w:r>
                    <w:rPr>
                      <w:rFonts w:ascii="仿宋_GB2312" w:hAnsi="仿宋_GB2312" w:cs="仿宋_GB2312" w:eastAsia="仿宋_GB2312"/>
                      <w:sz w:val="24"/>
                    </w:rPr>
                    <w:t>2.1、基本信息,包括患者基本信息、社保信息、紧急联系人信息等；</w:t>
                  </w:r>
                </w:p>
                <w:p>
                  <w:pPr>
                    <w:pStyle w:val="null3"/>
                  </w:pPr>
                  <w:r>
                    <w:rPr>
                      <w:rFonts w:ascii="仿宋_GB2312" w:hAnsi="仿宋_GB2312" w:cs="仿宋_GB2312" w:eastAsia="仿宋_GB2312"/>
                      <w:sz w:val="24"/>
                    </w:rPr>
                    <w:t>2.2、医疗信息，包括血型、身高、曾经肾脏替代历史、传染疾病史、药物过敏史、既往疾病史、吸烟史、腹膜透析首次培训者、化验月份、更换导管月份等；</w:t>
                  </w:r>
                </w:p>
                <w:p>
                  <w:pPr>
                    <w:pStyle w:val="null3"/>
                  </w:pPr>
                  <w:r>
                    <w:rPr>
                      <w:rFonts w:ascii="仿宋_GB2312" w:hAnsi="仿宋_GB2312" w:cs="仿宋_GB2312" w:eastAsia="仿宋_GB2312"/>
                      <w:sz w:val="24"/>
                    </w:rPr>
                    <w:t>2.3、疾病诊断，包括诊断类型、疾病类型、疾病名称、疾病描述、诊断日期、疾病状态、治愈日期、诊断医生等信息；</w:t>
                  </w:r>
                </w:p>
                <w:p>
                  <w:pPr>
                    <w:pStyle w:val="null3"/>
                  </w:pPr>
                  <w:r>
                    <w:rPr>
                      <w:rFonts w:ascii="仿宋_GB2312" w:hAnsi="仿宋_GB2312" w:cs="仿宋_GB2312" w:eastAsia="仿宋_GB2312"/>
                      <w:sz w:val="24"/>
                    </w:rPr>
                    <w:t>2.4、患者转归，含转出、退出、死亡三种转归类型，具体内容包括日期、转出原因、转出省市、转归医院、退出原因、死亡原因、死亡地点等信息；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随诊处方</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3.1、腹透处方、包括处方基本信息，处方日期、透析液种类、缓冲剂种类等。各种腹透模式腹透模式CAPD、APD(CCPD)、IPD、APD-TPD、DAPD、NIPD、机器手工、联合血透的详细信息，如腹透液名称、透析液浓度、每次注入量、净超滤量、留置时间、药品、计量等，支持多条处方的添加，支持根据多条处方医嘱，自动计算周期数、总灌入量、总净超滤量，钠的所有摄入量、盐得的摄入量等信息。</w:t>
                  </w:r>
                </w:p>
                <w:p>
                  <w:pPr>
                    <w:pStyle w:val="null3"/>
                  </w:pPr>
                  <w:r>
                    <w:rPr>
                      <w:rFonts w:ascii="仿宋_GB2312" w:hAnsi="仿宋_GB2312" w:cs="仿宋_GB2312" w:eastAsia="仿宋_GB2312"/>
                      <w:sz w:val="24"/>
                    </w:rPr>
                    <w:t>3.2、腹透手术、支持手术的置管日期、植入方法、术前评估、绝对禁忌症的选择、相对禁忌症的选择、手术过程、手术评价等相关信息</w:t>
                  </w:r>
                  <w:r>
                    <w:rPr>
                      <w:rFonts w:ascii="仿宋_GB2312" w:hAnsi="仿宋_GB2312" w:cs="仿宋_GB2312" w:eastAsia="仿宋_GB2312"/>
                      <w:sz w:val="24"/>
                    </w:rPr>
                    <w:t>。</w:t>
                  </w:r>
                  <w:r>
                    <w:rPr>
                      <w:rFonts w:ascii="仿宋_GB2312" w:hAnsi="仿宋_GB2312" w:cs="仿宋_GB2312" w:eastAsia="仿宋_GB2312"/>
                      <w:sz w:val="24"/>
                    </w:rPr>
                    <w:t>手术过程包括手术方式、</w:t>
                  </w:r>
                  <w:r>
                    <w:rPr>
                      <w:rFonts w:ascii="仿宋_GB2312" w:hAnsi="仿宋_GB2312" w:cs="仿宋_GB2312" w:eastAsia="仿宋_GB2312"/>
                      <w:sz w:val="24"/>
                    </w:rPr>
                    <w:t>cff出口距离、麻醉方式、引流试验、导管类型、手术助手、手术医生、术后并发症、处理措施等</w:t>
                  </w:r>
                </w:p>
                <w:p>
                  <w:pPr>
                    <w:pStyle w:val="null3"/>
                  </w:pPr>
                  <w:r>
                    <w:rPr>
                      <w:rFonts w:ascii="仿宋_GB2312" w:hAnsi="仿宋_GB2312" w:cs="仿宋_GB2312" w:eastAsia="仿宋_GB2312"/>
                      <w:sz w:val="24"/>
                    </w:rPr>
                    <w:t>3.3、透析充分性，系统支持从his系统拉取化验数据、自动读取血尿素氮、血肌酐、24小时尿肌酐、24小时透出液肌酐、尿蛋白浓度等结果，自动计算出腹膜Kt/V、残肾Kt/V、腹膜Ccr、残肾Ccr、总尿素清除率，nPNA、nPCR等透析评估结果。</w:t>
                  </w:r>
                </w:p>
                <w:p>
                  <w:pPr>
                    <w:pStyle w:val="null3"/>
                  </w:pPr>
                  <w:r>
                    <w:rPr>
                      <w:rFonts w:ascii="仿宋_GB2312" w:hAnsi="仿宋_GB2312" w:cs="仿宋_GB2312" w:eastAsia="仿宋_GB2312"/>
                      <w:sz w:val="24"/>
                    </w:rPr>
                    <w:t>3.4、并发症处置、包括导管各种并发症的选择，并对各种并发症的症状详情的选择，如红肿、疼痛、共性分泌物、腹透液浑浊、腹痛、发热、凝块、絮状物、灌入不畅、导管移位阻塞等。</w:t>
                  </w:r>
                </w:p>
                <w:p>
                  <w:pPr>
                    <w:pStyle w:val="null3"/>
                  </w:pPr>
                  <w:r>
                    <w:rPr>
                      <w:rFonts w:ascii="仿宋_GB2312" w:hAnsi="仿宋_GB2312" w:cs="仿宋_GB2312" w:eastAsia="仿宋_GB2312"/>
                      <w:sz w:val="24"/>
                    </w:rPr>
                    <w:t>3.5、医嘱记录：关联随访中的治疗和口服用药医嘱。</w:t>
                  </w:r>
                </w:p>
                <w:p>
                  <w:pPr>
                    <w:pStyle w:val="null3"/>
                  </w:pPr>
                  <w:r>
                    <w:rPr>
                      <w:rFonts w:ascii="仿宋_GB2312" w:hAnsi="仿宋_GB2312" w:cs="仿宋_GB2312" w:eastAsia="仿宋_GB2312"/>
                      <w:sz w:val="24"/>
                    </w:rPr>
                    <w:t>3.6、长期用药、支持根据时间段从his系统查看对应患者医嘱；支持手动添加长期医嘱，包括药品分类、药品名称、规格、剂量、用法频次、用药途径、开始时间、停药时间，停药原因等信息的录入。</w:t>
                  </w:r>
                </w:p>
                <w:p>
                  <w:pPr>
                    <w:pStyle w:val="null3"/>
                  </w:pPr>
                  <w:r>
                    <w:rPr>
                      <w:rFonts w:ascii="仿宋_GB2312" w:hAnsi="仿宋_GB2312" w:cs="仿宋_GB2312" w:eastAsia="仿宋_GB2312"/>
                      <w:sz w:val="24"/>
                    </w:rPr>
                    <w:t>3.7、化验检查，支持从his系统自动获取化验信息；支持手工录入化验信息，并给予数据折线图显示。支持化验结果数据导出，支持检验报告单查看。</w:t>
                  </w:r>
                </w:p>
                <w:p>
                  <w:pPr>
                    <w:pStyle w:val="null3"/>
                  </w:pPr>
                  <w:r>
                    <w:rPr>
                      <w:rFonts w:ascii="仿宋_GB2312" w:hAnsi="仿宋_GB2312" w:cs="仿宋_GB2312" w:eastAsia="仿宋_GB2312"/>
                      <w:sz w:val="24"/>
                    </w:rPr>
                    <w:t>3.8、患者宣教、健康宣教，自定义选择健康宣教的题目，可以对患者宣教结果进行选择.</w:t>
                  </w:r>
                </w:p>
                <w:p>
                  <w:pPr>
                    <w:pStyle w:val="null3"/>
                  </w:pPr>
                  <w:r>
                    <w:rPr>
                      <w:rFonts w:ascii="仿宋_GB2312" w:hAnsi="仿宋_GB2312" w:cs="仿宋_GB2312" w:eastAsia="仿宋_GB2312"/>
                      <w:sz w:val="24"/>
                    </w:rPr>
                    <w:t>3.9、腹膜平衡试验、支持各种的选择如腹膜平衡试验、标准平衡试验、改良平衡试验、mini平衡试验、双miniPET试验；支持根据透出液肌酐、透出液葡萄糖、不同时间段血肌酐、血糖自动计算出D/P值及D/DO值等</w:t>
                  </w:r>
                </w:p>
                <w:p>
                  <w:pPr>
                    <w:pStyle w:val="null3"/>
                  </w:pPr>
                  <w:r>
                    <w:rPr>
                      <w:rFonts w:ascii="仿宋_GB2312" w:hAnsi="仿宋_GB2312" w:cs="仿宋_GB2312" w:eastAsia="仿宋_GB2312"/>
                      <w:sz w:val="24"/>
                    </w:rPr>
                    <w:t>3.10、感染调查，支持对新发、再发、复发、重现、腹膜炎、出口感染、隧道感染等类型进行登记记录；支持对出口评分评级记录包括肿胀程度选择，结痂面积选择，红肿面积的选择、疼痛程度的选择；支持对透出液常规的化验记录；支持对病原、病原培养结果的记录；支持对感染药物的记录，疗程周期的时间记录；支持对患者鼻腔细菌培养结果记录，支持对患者口腔细菌培养结果记录，支持治疗方案的记录，支持对预后的选择及原因分析的记录。</w:t>
                  </w:r>
                </w:p>
                <w:p>
                  <w:pPr>
                    <w:pStyle w:val="null3"/>
                  </w:pPr>
                  <w:r>
                    <w:rPr>
                      <w:rFonts w:ascii="仿宋_GB2312" w:hAnsi="仿宋_GB2312" w:cs="仿宋_GB2312" w:eastAsia="仿宋_GB2312"/>
                      <w:sz w:val="24"/>
                    </w:rPr>
                    <w:t>3.11.短管更换记录</w:t>
                  </w:r>
                </w:p>
                <w:p>
                  <w:pPr>
                    <w:pStyle w:val="null3"/>
                  </w:pPr>
                  <w:r>
                    <w:rPr>
                      <w:rFonts w:ascii="仿宋_GB2312" w:hAnsi="仿宋_GB2312" w:cs="仿宋_GB2312" w:eastAsia="仿宋_GB2312"/>
                      <w:sz w:val="24"/>
                    </w:rPr>
                    <w:t>可填写短管更换日，更换原因，批号，更换人，腹外段导管是否修剪以及处理意见。可查询更换记录。</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患者信息随访</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支持电话随访记录，内容包括监测内容；评估记录，随访记录详情；并发症记录；一般情况；症状体征；回归社会情况；瘙痒评估；睡眠质量；焦虑评估</w:t>
                  </w:r>
                  <w:r>
                    <w:rPr>
                      <w:rFonts w:ascii="仿宋_GB2312" w:hAnsi="仿宋_GB2312" w:cs="仿宋_GB2312" w:eastAsia="仿宋_GB2312"/>
                      <w:sz w:val="24"/>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医疗文书</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5.1、随访记录单，支持随访记录单查询及打印。</w:t>
                  </w:r>
                </w:p>
                <w:p>
                  <w:pPr>
                    <w:pStyle w:val="null3"/>
                  </w:pPr>
                  <w:r>
                    <w:rPr>
                      <w:rFonts w:ascii="仿宋_GB2312" w:hAnsi="仿宋_GB2312" w:cs="仿宋_GB2312" w:eastAsia="仿宋_GB2312"/>
                      <w:sz w:val="24"/>
                    </w:rPr>
                    <w:t>5.2、APD记录单，支持对APD内容的编辑，姓名、包括机器编号-患者序号-次数、日期、血压、体重、24小时尿量、开机时间、关机时间、加热袋、1.5%葡萄糖(袋量)、2.5%葡萄糖(袋量)、补充袋、治疗方式、总治疗量(ml)、治疗时间(小时)、每次循环灌入量量(ml)、最末次灌入量(ml)、循环次数、0周期引流量(ml)、平均每次循环周期时间、引流液颜色等；支持对治疗结束后小结评价，包括全身情况、引流液情况、导管出口情况；支持对主管医生的选择、上机操作者的选择、下机操作者的选择。</w:t>
                  </w:r>
                </w:p>
                <w:p>
                  <w:pPr>
                    <w:pStyle w:val="null3"/>
                  </w:pPr>
                  <w:r>
                    <w:rPr>
                      <w:rFonts w:ascii="仿宋_GB2312" w:hAnsi="仿宋_GB2312" w:cs="仿宋_GB2312" w:eastAsia="仿宋_GB2312"/>
                      <w:sz w:val="24"/>
                    </w:rPr>
                    <w:t>5.3、病历首页，系统自动生成门诊腹膜透析首页，支持按季度查询及打印。</w:t>
                  </w:r>
                </w:p>
                <w:p>
                  <w:pPr>
                    <w:pStyle w:val="null3"/>
                  </w:pPr>
                  <w:r>
                    <w:rPr>
                      <w:rFonts w:ascii="仿宋_GB2312" w:hAnsi="仿宋_GB2312" w:cs="仿宋_GB2312" w:eastAsia="仿宋_GB2312"/>
                      <w:sz w:val="24"/>
                    </w:rPr>
                    <w:t>5.4、病程记录，支持首页记录，支持对患者姓名、性别、年龄、民族、婚姻、职业、出生地、入院时间、病史陈述者、主诉、现病史、既往史、个人史、婚育史、家族史的记录编辑以及完整的身体体格检查记录；病程记录，支持任意时间的选择，支持医生根据选择时间段自定义以下内容系统给予提示：血压及超滤评估、传染病学指标、营养与炎症、生化检查、铁代谢、骨矿物质代谢、血常规、运析充分性、透析事件、治疗方案、用药方案等内容，方便医生编辑个性化病程；</w:t>
                  </w:r>
                </w:p>
                <w:p>
                  <w:pPr>
                    <w:pStyle w:val="null3"/>
                  </w:pPr>
                  <w:r>
                    <w:rPr>
                      <w:rFonts w:ascii="仿宋_GB2312" w:hAnsi="仿宋_GB2312" w:cs="仿宋_GB2312" w:eastAsia="仿宋_GB2312"/>
                      <w:sz w:val="24"/>
                    </w:rPr>
                    <w:t>5.5、知情同意书，支持对知情同意书的编辑及打印，支持知情同意书多个模版的设置。</w:t>
                  </w:r>
                </w:p>
                <w:p>
                  <w:pPr>
                    <w:pStyle w:val="null3"/>
                  </w:pPr>
                  <w:r>
                    <w:rPr>
                      <w:rFonts w:ascii="仿宋_GB2312" w:hAnsi="仿宋_GB2312" w:cs="仿宋_GB2312" w:eastAsia="仿宋_GB2312"/>
                      <w:sz w:val="24"/>
                    </w:rPr>
                    <w:t>5.6、问卷评估，支持对医院各类型评估文本进行评估。支持对评估项的详情操作。</w:t>
                  </w:r>
                </w:p>
                <w:p>
                  <w:pPr>
                    <w:pStyle w:val="null3"/>
                  </w:pPr>
                  <w:r>
                    <w:rPr>
                      <w:rFonts w:ascii="仿宋_GB2312" w:hAnsi="仿宋_GB2312" w:cs="仿宋_GB2312" w:eastAsia="仿宋_GB2312"/>
                      <w:sz w:val="24"/>
                    </w:rPr>
                    <w:t>5.7自定义文书：支持对医院各类型文书的查看，编辑，删除及打印。</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随诊预约</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随诊日历可以展示每月预约患者数量及患者列表，即可通过患者列表快捷进行电话随访、门诊</w:t>
                  </w:r>
                  <w:r>
                    <w:rPr>
                      <w:rFonts w:ascii="仿宋_GB2312" w:hAnsi="仿宋_GB2312" w:cs="仿宋_GB2312" w:eastAsia="仿宋_GB2312"/>
                      <w:sz w:val="24"/>
                    </w:rPr>
                    <w:t>/</w:t>
                  </w:r>
                  <w:r>
                    <w:rPr>
                      <w:rFonts w:ascii="仿宋_GB2312" w:hAnsi="仿宋_GB2312" w:cs="仿宋_GB2312" w:eastAsia="仿宋_GB2312"/>
                      <w:sz w:val="24"/>
                    </w:rPr>
                    <w:t>随诊、属性设置、删除预约。</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数据统计</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7.0基本信息统计：包括透龄，费别，转归，新入等</w:t>
                  </w:r>
                </w:p>
                <w:p>
                  <w:pPr>
                    <w:pStyle w:val="null3"/>
                  </w:pPr>
                  <w:r>
                    <w:rPr>
                      <w:rFonts w:ascii="仿宋_GB2312" w:hAnsi="仿宋_GB2312" w:cs="仿宋_GB2312" w:eastAsia="仿宋_GB2312"/>
                      <w:sz w:val="24"/>
                    </w:rPr>
                    <w:t>7.1、患者信息查询，包括根据患者性别查询、根据患者类型查询、根据药品查询、根据诊断信息查询、根据患者评分等级查询；</w:t>
                  </w:r>
                </w:p>
                <w:p>
                  <w:pPr>
                    <w:pStyle w:val="null3"/>
                  </w:pPr>
                  <w:r>
                    <w:rPr>
                      <w:rFonts w:ascii="仿宋_GB2312" w:hAnsi="仿宋_GB2312" w:cs="仿宋_GB2312" w:eastAsia="仿宋_GB2312"/>
                      <w:sz w:val="24"/>
                    </w:rPr>
                    <w:t>7.2、患者治疗信息查询，根据患者治疗信息查询、根据患者性别查询、根据患者化验项目查询、根据患者并发症症状查询、根据自定义监测数据时间段查询；支持单项及多项组合查询；</w:t>
                  </w:r>
                </w:p>
                <w:p>
                  <w:pPr>
                    <w:pStyle w:val="null3"/>
                  </w:pPr>
                  <w:r>
                    <w:rPr>
                      <w:rFonts w:ascii="仿宋_GB2312" w:hAnsi="仿宋_GB2312" w:cs="仿宋_GB2312" w:eastAsia="仿宋_GB2312"/>
                      <w:sz w:val="24"/>
                    </w:rPr>
                    <w:t>7.3、腹透液申请记录查询，支持任意时间段腹透液申请记录的查询；支持根据搜索患者查询腹透液申请记录。</w:t>
                  </w:r>
                </w:p>
                <w:p>
                  <w:pPr>
                    <w:pStyle w:val="null3"/>
                  </w:pPr>
                  <w:r>
                    <w:rPr>
                      <w:rFonts w:ascii="仿宋_GB2312" w:hAnsi="仿宋_GB2312" w:cs="仿宋_GB2312" w:eastAsia="仿宋_GB2312"/>
                      <w:sz w:val="24"/>
                    </w:rPr>
                    <w:t>7.4、质控统计记录，化验项目如血红蛋白、尿素、肌酐、前白蛋白、甲状旁腺激素、血总蛋白、白细胞、血钾、血磷、血钙等等，支持根据化验时间段的选择查询化验结果，支持根据主管医生的选择查询化验结果，支持搜索患者的选择查询化验结果；支持对查询化验项的区间设置；并支持化验统计结果导出打印。</w:t>
                  </w:r>
                </w:p>
                <w:p>
                  <w:pPr>
                    <w:pStyle w:val="null3"/>
                  </w:pPr>
                  <w:r>
                    <w:rPr>
                      <w:rFonts w:ascii="仿宋_GB2312" w:hAnsi="仿宋_GB2312" w:cs="仿宋_GB2312" w:eastAsia="仿宋_GB2312"/>
                      <w:sz w:val="24"/>
                    </w:rPr>
                    <w:t>7.5、化验统计，支持对任意时段的化验查询、支持对任意患者的化验查询。并支持化验结果导出。</w:t>
                  </w:r>
                </w:p>
                <w:p>
                  <w:pPr>
                    <w:pStyle w:val="null3"/>
                  </w:pPr>
                  <w:r>
                    <w:rPr>
                      <w:rFonts w:ascii="仿宋_GB2312" w:hAnsi="仿宋_GB2312" w:cs="仿宋_GB2312" w:eastAsia="仿宋_GB2312"/>
                      <w:sz w:val="24"/>
                    </w:rPr>
                    <w:t>7.6、随访信息统计，支持对腹膜置管手术记录统计、透析充分性记录统计、腹膜平衡试验记录统计、辅助检查记录统计、转归记录统计、感染记录统计、短管更换记录统计、治疗医嘱记录统计、口服用药医嘱记录统计、随访记录统计等。并支持统计结果的导出。</w:t>
                  </w:r>
                </w:p>
                <w:p>
                  <w:pPr>
                    <w:pStyle w:val="null3"/>
                  </w:pPr>
                  <w:r>
                    <w:rPr>
                      <w:rFonts w:ascii="仿宋_GB2312" w:hAnsi="仿宋_GB2312" w:cs="仿宋_GB2312" w:eastAsia="仿宋_GB2312"/>
                      <w:sz w:val="24"/>
                    </w:rPr>
                    <w:t>7.7质量管理，SOP要求的高血压的控制率、5年以上腹透患者生存率、中心腹膜炎感染率、导管出口处感染率、隧道感染率、出院率等。</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数据上报</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支持与全国腹膜透析质控上报中心系统进行对接，上报数据包含患者基本信息、化验数据、治疗信息的上报。</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基础设置</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包括医护设置，药品设置，治疗设置，化验单设置，映射管理，疾病管理，评估维护，</w:t>
                  </w:r>
                  <w:r>
                    <w:rPr>
                      <w:rFonts w:ascii="仿宋_GB2312" w:hAnsi="仿宋_GB2312" w:cs="仿宋_GB2312" w:eastAsia="仿宋_GB2312"/>
                      <w:sz w:val="24"/>
                    </w:rPr>
                    <w:t>宣教计划</w:t>
                  </w:r>
                  <w:r>
                    <w:rPr>
                      <w:rFonts w:ascii="仿宋_GB2312" w:hAnsi="仿宋_GB2312" w:cs="仿宋_GB2312" w:eastAsia="仿宋_GB2312"/>
                      <w:sz w:val="24"/>
                    </w:rPr>
                    <w:t>，</w:t>
                  </w:r>
                  <w:r>
                    <w:rPr>
                      <w:rFonts w:ascii="仿宋_GB2312" w:hAnsi="仿宋_GB2312" w:cs="仿宋_GB2312" w:eastAsia="仿宋_GB2312"/>
                      <w:sz w:val="24"/>
                    </w:rPr>
                    <w:t>患者条码</w:t>
                  </w:r>
                  <w:r>
                    <w:rPr>
                      <w:rFonts w:ascii="仿宋_GB2312" w:hAnsi="仿宋_GB2312" w:cs="仿宋_GB2312" w:eastAsia="仿宋_GB2312"/>
                      <w:sz w:val="24"/>
                    </w:rPr>
                    <w:t>，自定义表单，并发症设置等设置，对全系统中可配置项的任意添加修改。</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系统设置</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字典表维护：对全系统中的常用项类型详情的配置。</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系统接口</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完成</w:t>
                  </w:r>
                  <w:r>
                    <w:rPr>
                      <w:rFonts w:ascii="仿宋_GB2312" w:hAnsi="仿宋_GB2312" w:cs="仿宋_GB2312" w:eastAsia="仿宋_GB2312"/>
                      <w:sz w:val="24"/>
                    </w:rPr>
                    <w:t>HIS、LIS对接或者从集成平台系统上获取数据，实现：</w:t>
                  </w:r>
                </w:p>
                <w:p>
                  <w:pPr>
                    <w:pStyle w:val="null3"/>
                  </w:pPr>
                  <w:r>
                    <w:rPr>
                      <w:rFonts w:ascii="仿宋_GB2312" w:hAnsi="仿宋_GB2312" w:cs="仿宋_GB2312" w:eastAsia="仿宋_GB2312"/>
                      <w:sz w:val="24"/>
                    </w:rPr>
                    <w:t>1）单向拉取患者的基本信息、化验信息、门诊处方、住院医嘱等；</w:t>
                  </w:r>
                </w:p>
                <w:p>
                  <w:pPr>
                    <w:pStyle w:val="null3"/>
                  </w:pPr>
                  <w:r>
                    <w:rPr>
                      <w:rFonts w:ascii="仿宋_GB2312" w:hAnsi="仿宋_GB2312" w:cs="仿宋_GB2312" w:eastAsia="仿宋_GB2312"/>
                      <w:sz w:val="24"/>
                    </w:rPr>
                    <w:t>2）与主流数据库实现数据对接；</w:t>
                  </w:r>
                </w:p>
              </w:tc>
            </w:tr>
          </w:tbl>
          <w:p>
            <w:pPr>
              <w:pStyle w:val="null3"/>
              <w:spacing w:before="255" w:after="255"/>
              <w:ind w:left="570"/>
              <w:outlineLvl w:val="1"/>
            </w:pPr>
            <w:r>
              <w:rPr>
                <w:rFonts w:ascii="仿宋_GB2312" w:hAnsi="仿宋_GB2312" w:cs="仿宋_GB2312" w:eastAsia="仿宋_GB2312"/>
                <w:sz w:val="32"/>
                <w:b/>
              </w:rPr>
              <w:t>3.3</w:t>
            </w:r>
            <w:r>
              <w:rPr>
                <w:rFonts w:ascii="仿宋_GB2312" w:hAnsi="仿宋_GB2312" w:cs="仿宋_GB2312" w:eastAsia="仿宋_GB2312"/>
                <w:sz w:val="32"/>
                <w:b/>
              </w:rPr>
              <w:t>肾脏疾病专病库</w:t>
            </w:r>
          </w:p>
          <w:tbl>
            <w:tblPr>
              <w:tblBorders>
                <w:top w:val="none" w:color="000000" w:sz="4"/>
                <w:left w:val="none" w:color="000000" w:sz="4"/>
                <w:bottom w:val="none" w:color="000000" w:sz="4"/>
                <w:right w:val="none" w:color="000000" w:sz="4"/>
                <w:insideH w:val="none"/>
                <w:insideV w:val="none"/>
              </w:tblBorders>
            </w:tblPr>
            <w:tblGrid>
              <w:gridCol w:w="495"/>
              <w:gridCol w:w="369"/>
              <w:gridCol w:w="621"/>
              <w:gridCol w:w="1067"/>
            </w:tblGrid>
            <w:tr>
              <w:tc>
                <w:tcPr>
                  <w:tcW w:type="dxa" w:w="495"/>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b/>
                    </w:rPr>
                    <w:t>系统名称</w:t>
                  </w:r>
                </w:p>
              </w:tc>
              <w:tc>
                <w:tcPr>
                  <w:tcW w:type="dxa" w:w="369"/>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b/>
                    </w:rPr>
                    <w:t>一级模块</w:t>
                  </w:r>
                </w:p>
              </w:tc>
              <w:tc>
                <w:tcPr>
                  <w:tcW w:type="dxa" w:w="621"/>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b/>
                    </w:rPr>
                    <w:t>二级模块</w:t>
                  </w:r>
                </w:p>
              </w:tc>
              <w:tc>
                <w:tcPr>
                  <w:tcW w:type="dxa" w:w="1067"/>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b/>
                    </w:rPr>
                    <w:t>三级模块</w:t>
                  </w:r>
                </w:p>
              </w:tc>
            </w:tr>
            <w:tr>
              <w:tc>
                <w:tcPr>
                  <w:tcW w:type="dxa" w:w="495"/>
                  <w:vMerge w:val="restart"/>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肾脏疾病专病库</w:t>
                  </w:r>
                </w:p>
              </w:tc>
              <w:tc>
                <w:tcPr>
                  <w:tcW w:type="dxa" w:w="369"/>
                  <w:vMerge w:val="restart"/>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基础平台</w:t>
                  </w:r>
                </w:p>
                <w:p>
                  <w:pPr>
                    <w:pStyle w:val="null3"/>
                    <w:jc w:val="center"/>
                  </w:p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平台基础授权</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专病平台主框架、用户管理（角色</w:t>
                  </w:r>
                  <w:r>
                    <w:rPr>
                      <w:rFonts w:ascii="仿宋_GB2312" w:hAnsi="仿宋_GB2312" w:cs="仿宋_GB2312" w:eastAsia="仿宋_GB2312"/>
                      <w:sz w:val="24"/>
                    </w:rPr>
                    <w:t>/权限分配）、流程引擎（表单流转/审批配置）等</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数据模型引擎</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自定义字段配置、结构化数据模型搭建（适配慢性肾病、急性肾损伤、肾病综合征等病种）、数据版本管理（对比</w:t>
                  </w:r>
                  <w:r>
                    <w:rPr>
                      <w:rFonts w:ascii="仿宋_GB2312" w:hAnsi="仿宋_GB2312" w:cs="仿宋_GB2312" w:eastAsia="仿宋_GB2312"/>
                      <w:sz w:val="24"/>
                    </w:rPr>
                    <w:t>/回溯）等</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容灾与备份模块</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操作日志记录、定时自动备份、手动备份、数据恢复功能（含策略配置）等</w:t>
                  </w:r>
                </w:p>
              </w:tc>
            </w:tr>
            <w:tr>
              <w:tc>
                <w:tcPr>
                  <w:tcW w:type="dxa" w:w="495"/>
                  <w:vMerge/>
                  <w:tcBorders>
                    <w:top w:val="none" w:color="000000" w:sz="4"/>
                    <w:left w:val="single" w:color="000000" w:sz="4"/>
                    <w:bottom w:val="single" w:color="000000" w:sz="4"/>
                    <w:right w:val="single" w:color="000000" w:sz="4"/>
                  </w:tcBorders>
                </w:tcPr>
                <w:p/>
              </w:tc>
              <w:tc>
                <w:tcPr>
                  <w:tcW w:type="dxa" w:w="369"/>
                  <w:vMerge w:val="restart"/>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肾脏疾病专病模型</w:t>
                  </w: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病种模型构建</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覆盖慢性肾脏病（</w:t>
                  </w:r>
                  <w:r>
                    <w:rPr>
                      <w:rFonts w:ascii="仿宋_GB2312" w:hAnsi="仿宋_GB2312" w:cs="仿宋_GB2312" w:eastAsia="仿宋_GB2312"/>
                      <w:sz w:val="24"/>
                    </w:rPr>
                    <w:t>CKD1-5期）、急性肾损伤（AKI）、肾病综合征、狼疮性肾炎、糖尿病肾病等，定义核心字段（肾功能分期、病理类型、透析状态）、派生字段及关联关系</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字段标准化</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ICD-10/ICD-9-CM3编码映射、临床术语规范化（肾病类型/病理分型/透析方式表述统一）</w:t>
                  </w:r>
                </w:p>
              </w:tc>
            </w:tr>
            <w:tr>
              <w:tc>
                <w:tcPr>
                  <w:tcW w:type="dxa" w:w="495"/>
                  <w:vMerge/>
                  <w:tcBorders>
                    <w:top w:val="none" w:color="000000" w:sz="4"/>
                    <w:left w:val="single" w:color="000000" w:sz="4"/>
                    <w:bottom w:val="single" w:color="000000" w:sz="4"/>
                    <w:right w:val="single" w:color="000000" w:sz="4"/>
                  </w:tcBorders>
                </w:tcPr>
                <w:p/>
              </w:tc>
              <w:tc>
                <w:tcPr>
                  <w:tcW w:type="dxa" w:w="369"/>
                  <w:vMerge w:val="restart"/>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诊疗流程表单</w:t>
                  </w: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急诊表单</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急性肾损伤急诊登记表、肾功能衰竭抢救记录单、透析紧急处置记录，含必填字段</w:t>
                  </w:r>
                  <w:r>
                    <w:rPr>
                      <w:rFonts w:ascii="仿宋_GB2312" w:hAnsi="仿宋_GB2312" w:cs="仿宋_GB2312" w:eastAsia="仿宋_GB2312"/>
                      <w:sz w:val="24"/>
                    </w:rPr>
                    <w:t>/逻辑校验（如血肌酐、尿量、血压阈值校验）</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门诊</w:t>
                  </w:r>
                  <w:r>
                    <w:rPr>
                      <w:rFonts w:ascii="仿宋_GB2312" w:hAnsi="仿宋_GB2312" w:cs="仿宋_GB2312" w:eastAsia="仿宋_GB2312"/>
                      <w:sz w:val="24"/>
                    </w:rPr>
                    <w:t>/住院表单</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入院评估表（含</w:t>
                  </w:r>
                  <w:r>
                    <w:rPr>
                      <w:rFonts w:ascii="仿宋_GB2312" w:hAnsi="仿宋_GB2312" w:cs="仿宋_GB2312" w:eastAsia="仿宋_GB2312"/>
                      <w:sz w:val="24"/>
                    </w:rPr>
                    <w:t>CKD分期判定、并发症筛查）、治疗措施记录（药物/透析/手术）、出院小结结构化提取，适配肾内科临床流程</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透析专项表单</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血液透析</w:t>
                  </w:r>
                  <w:r>
                    <w:rPr>
                      <w:rFonts w:ascii="仿宋_GB2312" w:hAnsi="仿宋_GB2312" w:cs="仿宋_GB2312" w:eastAsia="仿宋_GB2312"/>
                      <w:sz w:val="24"/>
                    </w:rPr>
                    <w:t>/腹膜透析治疗记录、透析充分性评估表（Kt/V值记录）、透析并发症监测（感染/出血/低血压），支持与透析机数据关联</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病理检查表单</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肾穿刺病理报告结构化提取（病理类型、免疫荧光结果、系膜增生程度等），支持病理分级标注</w:t>
                  </w:r>
                </w:p>
              </w:tc>
            </w:tr>
            <w:tr>
              <w:tc>
                <w:tcPr>
                  <w:tcW w:type="dxa" w:w="495"/>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风险评分模型数据采集</w:t>
                  </w: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4"/>
                    </w:rPr>
                    <w:t>风险评分模型数据采集</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采集</w:t>
                  </w:r>
                  <w:r>
                    <w:rPr>
                      <w:rFonts w:ascii="仿宋_GB2312" w:hAnsi="仿宋_GB2312" w:cs="仿宋_GB2312" w:eastAsia="仿宋_GB2312"/>
                      <w:sz w:val="24"/>
                    </w:rPr>
                    <w:t>CKD进展风险模型、透析并发症风险模型、AKI预后评分模型等模型所需数据，并计算相关评分</w:t>
                  </w:r>
                </w:p>
              </w:tc>
            </w:tr>
            <w:tr>
              <w:tc>
                <w:tcPr>
                  <w:tcW w:type="dxa" w:w="495"/>
                  <w:vMerge/>
                  <w:tcBorders>
                    <w:top w:val="none" w:color="000000" w:sz="4"/>
                    <w:left w:val="single" w:color="000000" w:sz="4"/>
                    <w:bottom w:val="single" w:color="000000" w:sz="4"/>
                    <w:right w:val="single" w:color="000000" w:sz="4"/>
                  </w:tcBorders>
                </w:tcPr>
                <w:p/>
              </w:tc>
              <w:tc>
                <w:tcPr>
                  <w:tcW w:type="dxa" w:w="369"/>
                  <w:vMerge w:val="restart"/>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质控</w:t>
                  </w:r>
                  <w:r>
                    <w:rPr>
                      <w:rFonts w:ascii="仿宋_GB2312" w:hAnsi="仿宋_GB2312" w:cs="仿宋_GB2312" w:eastAsia="仿宋_GB2312"/>
                      <w:sz w:val="24"/>
                    </w:rPr>
                    <w:t>/报表</w:t>
                  </w: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肾功能恶化率统计</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自动归集数据，按</w:t>
                  </w:r>
                  <w:r>
                    <w:rPr>
                      <w:rFonts w:ascii="仿宋_GB2312" w:hAnsi="仿宋_GB2312" w:cs="仿宋_GB2312" w:eastAsia="仿宋_GB2312"/>
                      <w:sz w:val="24"/>
                    </w:rPr>
                    <w:t>CKD分期/科室/年龄段维度统计肾功能下降趋势</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透析质量分析</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统计透析充分性达标率、并发症发生率，生成月度</w:t>
                  </w:r>
                  <w:r>
                    <w:rPr>
                      <w:rFonts w:ascii="仿宋_GB2312" w:hAnsi="仿宋_GB2312" w:cs="仿宋_GB2312" w:eastAsia="仿宋_GB2312"/>
                      <w:sz w:val="24"/>
                    </w:rPr>
                    <w:t>/年度可视化报表</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手术</w:t>
                  </w:r>
                  <w:r>
                    <w:rPr>
                      <w:rFonts w:ascii="仿宋_GB2312" w:hAnsi="仿宋_GB2312" w:cs="仿宋_GB2312" w:eastAsia="仿宋_GB2312"/>
                      <w:sz w:val="24"/>
                    </w:rPr>
                    <w:t>/药物疗效报表</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汇总肾移植、穿刺手术病例数据，及降压</w:t>
                  </w:r>
                  <w:r>
                    <w:rPr>
                      <w:rFonts w:ascii="仿宋_GB2312" w:hAnsi="仿宋_GB2312" w:cs="仿宋_GB2312" w:eastAsia="仿宋_GB2312"/>
                      <w:sz w:val="24"/>
                    </w:rPr>
                    <w:t>/降糖/护肾药物疗效分析，生成柱状图/折线图及明细报表</w:t>
                  </w:r>
                </w:p>
              </w:tc>
            </w:tr>
            <w:tr>
              <w:tc>
                <w:tcPr>
                  <w:tcW w:type="dxa" w:w="495"/>
                  <w:vMerge/>
                  <w:tcBorders>
                    <w:top w:val="none" w:color="000000" w:sz="4"/>
                    <w:left w:val="single" w:color="000000" w:sz="4"/>
                    <w:bottom w:val="single" w:color="000000" w:sz="4"/>
                    <w:right w:val="single" w:color="000000" w:sz="4"/>
                  </w:tcBorders>
                </w:tcPr>
                <w:p/>
              </w:tc>
              <w:tc>
                <w:tcPr>
                  <w:tcW w:type="dxa" w:w="369"/>
                  <w:vMerge w:val="restart"/>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影像</w:t>
                  </w:r>
                  <w:r>
                    <w:rPr>
                      <w:rFonts w:ascii="仿宋_GB2312" w:hAnsi="仿宋_GB2312" w:cs="仿宋_GB2312" w:eastAsia="仿宋_GB2312"/>
                      <w:sz w:val="24"/>
                    </w:rPr>
                    <w:t>/病理对接</w:t>
                  </w: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影像系统接口</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对接</w:t>
                  </w:r>
                  <w:r>
                    <w:rPr>
                      <w:rFonts w:ascii="仿宋_GB2312" w:hAnsi="仿宋_GB2312" w:cs="仿宋_GB2312" w:eastAsia="仿宋_GB2312"/>
                      <w:sz w:val="24"/>
                    </w:rPr>
                    <w:t>CT/MRI/超声系统，同步肾脏形态、结石/积水等检查元数据、诊断结果，保障实时性</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病理报告</w:t>
                  </w:r>
                  <w:r>
                    <w:rPr>
                      <w:rFonts w:ascii="仿宋_GB2312" w:hAnsi="仿宋_GB2312" w:cs="仿宋_GB2312" w:eastAsia="仿宋_GB2312"/>
                      <w:sz w:val="24"/>
                    </w:rPr>
                    <w:t>PDF处理</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提取肾穿刺病理报告</w:t>
                  </w:r>
                  <w:r>
                    <w:rPr>
                      <w:rFonts w:ascii="仿宋_GB2312" w:hAnsi="仿宋_GB2312" w:cs="仿宋_GB2312" w:eastAsia="仿宋_GB2312"/>
                      <w:sz w:val="24"/>
                    </w:rPr>
                    <w:t>PDF文件，与病例绑定归档，支持在线预览/下载</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影像跳转功能</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通过</w:t>
                  </w:r>
                  <w:r>
                    <w:rPr>
                      <w:rFonts w:ascii="仿宋_GB2312" w:hAnsi="仿宋_GB2312" w:cs="仿宋_GB2312" w:eastAsia="仿宋_GB2312"/>
                      <w:sz w:val="24"/>
                    </w:rPr>
                    <w:t>PACSURL/Token鉴权，实现一键跳转查看肾脏原始影像（增强CT、超声造影等）</w:t>
                  </w:r>
                </w:p>
              </w:tc>
            </w:tr>
            <w:tr>
              <w:tc>
                <w:tcPr>
                  <w:tcW w:type="dxa" w:w="495"/>
                  <w:vMerge/>
                  <w:tcBorders>
                    <w:top w:val="none" w:color="000000" w:sz="4"/>
                    <w:left w:val="single" w:color="000000" w:sz="4"/>
                    <w:bottom w:val="single" w:color="000000" w:sz="4"/>
                    <w:right w:val="single" w:color="000000" w:sz="4"/>
                  </w:tcBorders>
                </w:tcPr>
                <w:p/>
              </w:tc>
              <w:tc>
                <w:tcPr>
                  <w:tcW w:type="dxa" w:w="369"/>
                  <w:vMerge w:val="restart"/>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HIS/EMR/LIS接口</w:t>
                  </w: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HIS-患者信息接口</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同步基本信息（姓名</w:t>
                  </w:r>
                  <w:r>
                    <w:rPr>
                      <w:rFonts w:ascii="仿宋_GB2312" w:hAnsi="仿宋_GB2312" w:cs="仿宋_GB2312" w:eastAsia="仿宋_GB2312"/>
                      <w:sz w:val="24"/>
                    </w:rPr>
                    <w:t>/性别等）、就诊记录、住院号、透析登记信息，保障身份一致性</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EMR-诊断抽取接口</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提取</w:t>
                  </w:r>
                  <w:r>
                    <w:rPr>
                      <w:rFonts w:ascii="仿宋_GB2312" w:hAnsi="仿宋_GB2312" w:cs="仿宋_GB2312" w:eastAsia="仿宋_GB2312"/>
                      <w:sz w:val="24"/>
                    </w:rPr>
                    <w:t>ICD10编码、病案首页摘要（CKD分期、基础病因），结构化存储至专病库</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LIS-化验结果接口</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同步血肌酐（</w:t>
                  </w:r>
                  <w:r>
                    <w:rPr>
                      <w:rFonts w:ascii="仿宋_GB2312" w:hAnsi="仿宋_GB2312" w:cs="仿宋_GB2312" w:eastAsia="仿宋_GB2312"/>
                      <w:sz w:val="24"/>
                    </w:rPr>
                    <w:t>Scr）、尿素氮（BUN）、eGFR、尿蛋白定量、电解质、尿酸等核心指标，支持异常值标记</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透析机数据接口</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对接血液透析机</w:t>
                  </w:r>
                  <w:r>
                    <w:rPr>
                      <w:rFonts w:ascii="仿宋_GB2312" w:hAnsi="仿宋_GB2312" w:cs="仿宋_GB2312" w:eastAsia="仿宋_GB2312"/>
                      <w:sz w:val="24"/>
                    </w:rPr>
                    <w:t>/腹膜透析设备，同步透析时长、血流量、超滤量等设备数据</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系统联调</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多系统接口联测、异常排查修复，确保数据传输稳定</w:t>
                  </w:r>
                </w:p>
              </w:tc>
            </w:tr>
            <w:tr>
              <w:tc>
                <w:tcPr>
                  <w:tcW w:type="dxa" w:w="495"/>
                  <w:vMerge/>
                  <w:tcBorders>
                    <w:top w:val="none" w:color="000000" w:sz="4"/>
                    <w:left w:val="single" w:color="000000" w:sz="4"/>
                    <w:bottom w:val="single" w:color="000000" w:sz="4"/>
                    <w:right w:val="single" w:color="000000" w:sz="4"/>
                  </w:tcBorders>
                </w:tcPr>
                <w:p/>
              </w:tc>
              <w:tc>
                <w:tcPr>
                  <w:tcW w:type="dxa" w:w="369"/>
                  <w:vMerge w:val="restart"/>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数据治理</w:t>
                  </w: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字典统一</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ICD编码、化验/检查项目（肾功相关指标）、透析方式字典与专病库标准对齐，消除异构性</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历史数据清洗</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清洗过去一年肾脏疾病病例数据（异常值修正</w:t>
                  </w:r>
                  <w:r>
                    <w:rPr>
                      <w:rFonts w:ascii="仿宋_GB2312" w:hAnsi="仿宋_GB2312" w:cs="仿宋_GB2312" w:eastAsia="仿宋_GB2312"/>
                      <w:sz w:val="24"/>
                    </w:rPr>
                    <w:t>/缺失值补全，如eGFR计算补全），提升数据质量</w:t>
                  </w:r>
                </w:p>
              </w:tc>
            </w:tr>
            <w:tr>
              <w:tc>
                <w:tcPr>
                  <w:tcW w:type="dxa" w:w="495"/>
                  <w:vMerge/>
                  <w:tcBorders>
                    <w:top w:val="none" w:color="000000" w:sz="4"/>
                    <w:left w:val="single" w:color="000000" w:sz="4"/>
                    <w:bottom w:val="single" w:color="000000" w:sz="4"/>
                    <w:right w:val="single" w:color="000000" w:sz="4"/>
                  </w:tcBorders>
                </w:tcPr>
                <w:p/>
              </w:tc>
              <w:tc>
                <w:tcPr>
                  <w:tcW w:type="dxa" w:w="369"/>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批量导入</w:t>
                  </w:r>
                  <w:r>
                    <w:rPr>
                      <w:rFonts w:ascii="仿宋_GB2312" w:hAnsi="仿宋_GB2312" w:cs="仿宋_GB2312" w:eastAsia="仿宋_GB2312"/>
                      <w:sz w:val="24"/>
                    </w:rPr>
                    <w:t>&amp;校验</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开发</w:t>
                  </w:r>
                  <w:r>
                    <w:rPr>
                      <w:rFonts w:ascii="仿宋_GB2312" w:hAnsi="仿宋_GB2312" w:cs="仿宋_GB2312" w:eastAsia="仿宋_GB2312"/>
                      <w:sz w:val="24"/>
                    </w:rPr>
                    <w:t>ETL脚本实现批量入库，生成完整性/准确性校验报告（重点校验肾功能指标、CKD分期字段）</w:t>
                  </w:r>
                </w:p>
              </w:tc>
            </w:tr>
            <w:tr>
              <w:tc>
                <w:tcPr>
                  <w:tcW w:type="dxa" w:w="495"/>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随访系统对接</w:t>
                  </w:r>
                </w:p>
              </w:tc>
              <w:tc>
                <w:tcPr>
                  <w:tcW w:type="dxa" w:w="62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随访系统数据对接</w:t>
                  </w:r>
                </w:p>
              </w:tc>
              <w:tc>
                <w:tcPr>
                  <w:tcW w:type="dxa" w:w="106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pPr>
                  <w:r>
                    <w:rPr>
                      <w:rFonts w:ascii="仿宋_GB2312" w:hAnsi="仿宋_GB2312" w:cs="仿宋_GB2312" w:eastAsia="仿宋_GB2312"/>
                      <w:sz w:val="24"/>
                    </w:rPr>
                    <w:t>对接院内随访系统数据，采集随访数据</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实施人员要求： 成交单位应仔细研读磋商文件，根据项目内容及理解，提供项目详尽的实施方案和进度表。实施方案内容大致包括：1.组织保障安排：成立领导小组，领导小组中的责任分工等。2.制定具体的实施流程、实施内容。3.成交单位应在系统实施方案中描述具体的实施团队的组成、工作内容、投入人员、项目进程表及采购人的配合等内容。实施期间，成交单位应按磋商文件要求派遣具有同类三甲医院项目成功实施经验的工程师驻扎医院进行项目的开发实施工作。成交单位的实施团队应具有丰富的项目的经验，能协助医院提供全方位的工作，包括但不限于项目咨询、软件研发、系统实施等。 成交单位须派驻至少2名专职工程师进行本次项目软硬件的需求细化调研、设计开发、功能测试、应用培训、部署上线、系统配置、数据准备、服务器安装调试等实施工作，在响应文件中提供承诺并加盖单位公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满足竞争性磋商文件服务内容要求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质量要求：满足采购人要求，符合国家及相关行业合格标准。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延安大学附属医院、心脑血管病医院、妇女儿童医院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1、采购人对供应商提供的产品在使用前进行调试时，成交供应商需负责安装并培训采购人的使用操作人员，并协助采购人一起调试，直到符合技术要求，采购人才做最终验收。 2、验收时采购方、成交供应商等项目相关方都须在场，验收完毕后一致作出验收结果报告。 3、交付文档验收要求： 项目的工作内容及成果文档的提交应覆盖以下内容，电子文档是成果不可分割的部分。 （1）系统的体系架构及描述。 （2）提供的其它技术手册，包括：《总体设计报告》；需求分析报告（含软件功能需求与数据要求）；《详细设计说明书》；《数据字典》；《接口文档》；系统实施确认书；软件培训资料；《系统运行维护手册》；程序安装维护手册；软件使用操作手册；项目验收报告等。 （3）符合采购人项目管理要求，提交相应项目资料。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系统上线正常运行一个月且符合合同、磋商文件、响应文件及实施计划的技术要求，采购方组织相关人员进行项目系统验收，双方签名确认验收报告后15个工作日内，成交供应商向采购方提供发票及付款申请，采购方向成交供应商支付合同金总额的</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双方约定项目系统上线正常运行五年后且符合合同、磋商文件、响应文件及实施计划的技术要求，成交供应商向采购方提交付款申请，采购方收到付款申请后，支付合同总金额</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凡因本合同的签订、履行、解除、终止引起的或与本合同有关的任何争议，双方应通过友好协商解决，协商不成时，向延安市宝塔区人民法院提起诉讼解决。诉讼期间,双方应继续执行合同其余部分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供应商认为有必要说明的其他问题.docx 响应函 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供应商须提供2024或2025年度的财务审计报告(成立时间至提交响应文件截止时间不足一年的可提供成立后任意时段的资产负债表)，或其基本存款账户开户银行出具的资信证明及基本存款账户开户信息；</w:t>
            </w:r>
          </w:p>
        </w:tc>
        <w:tc>
          <w:tcPr>
            <w:tcW w:type="dxa" w:w="1661"/>
          </w:tcPr>
          <w:p>
            <w:pPr>
              <w:pStyle w:val="null3"/>
            </w:pPr>
            <w:r>
              <w:rPr>
                <w:rFonts w:ascii="仿宋_GB2312" w:hAnsi="仿宋_GB2312" w:cs="仿宋_GB2312" w:eastAsia="仿宋_GB2312"/>
              </w:rPr>
              <w:t>供应商认为有必要说明的其他问题.docx 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供应商认为有必要说明的其他问题.docx 报价表 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落实政府采购相关政策</w:t>
            </w:r>
          </w:p>
        </w:tc>
        <w:tc>
          <w:tcPr>
            <w:tcW w:type="dxa" w:w="3322"/>
          </w:tcPr>
          <w:p>
            <w:pPr>
              <w:pStyle w:val="null3"/>
            </w:pPr>
            <w:r>
              <w:rPr>
                <w:rFonts w:ascii="仿宋_GB2312" w:hAnsi="仿宋_GB2312" w:cs="仿宋_GB2312" w:eastAsia="仿宋_GB2312"/>
              </w:rPr>
              <w:t>（1）政府采购促进中小企业发展管理办法的通知--财库[2020]46号； （2）财政部司法部关于政府采购支持监狱企业发展有关问题的通知--财库[2014]68号； （3）国务院办公厅关于建立政府强制采购节能产品制度的通知--国办发[2007]51号； （4）关于促进残疾人就业政府采购政策的通知--财库[2017]141号； （5）财政部、国家发改委、生态环境部、市场监管总局联合印发《关于调整优化节能产品、环境标志产品政府采购执行机制的通知》（财库〔2019〕9号）； （6）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（7）《陕西省财政厅关于加快推进我省中小企业政府采购信用融资工作的通知》（陕财办采〔2020〕15号）、陕西省财政厅关于印发《陕西省中小企业政府采购信用融资办法》（陕财办采〔2018〕23号）。</w:t>
            </w:r>
          </w:p>
        </w:tc>
        <w:tc>
          <w:tcPr>
            <w:tcW w:type="dxa" w:w="1661"/>
          </w:tcPr>
          <w:p>
            <w:pPr>
              <w:pStyle w:val="null3"/>
            </w:pPr>
            <w:r>
              <w:rPr>
                <w:rFonts w:ascii="仿宋_GB2312" w:hAnsi="仿宋_GB2312" w:cs="仿宋_GB2312" w:eastAsia="仿宋_GB2312"/>
              </w:rPr>
              <w:t>业绩.docx 技术偏离表.docx 中小企业声明函 残疾人福利性单位声明函 标的清单 报价表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本项目标的所属行业为软件和信息技术服务业，参与的供应商（联合体）服务全部由符合政策要求的中小企业承接。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资质证明文件.docx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具有独立承担民事责任能力的法人或其他组织，提供合法有效的统一社会信用代码的营业执照（附年度报告书）或事业单位法人证书等国家规定的相关证明，自然人参与的提供其身份证明；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法定代表人授权书（附法定代表人身份证复印件）及被授权人身份证（法定代表人直接参加只须提供法定代表人身份证）；</w:t>
            </w:r>
          </w:p>
        </w:tc>
        <w:tc>
          <w:tcPr>
            <w:tcW w:type="dxa" w:w="1661"/>
          </w:tcPr>
          <w:p>
            <w:pPr>
              <w:pStyle w:val="null3"/>
            </w:pPr>
            <w:r>
              <w:rPr>
                <w:rFonts w:ascii="仿宋_GB2312" w:hAnsi="仿宋_GB2312" w:cs="仿宋_GB2312" w:eastAsia="仿宋_GB2312"/>
              </w:rPr>
              <w:t>资质证明文件.docx 法定代表人证明书与授权书.docx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提供2025年度03月至2026年度03月份任意一个月份的缴税凭证或依法免税的供应商应提供相关文件证明；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提供2025年03月份至2026年03月份任意一个月份的社会保障资金缴存证明或社保机构开具的社会保险参保缴费情况证明；依法不需要缴纳社会保障资金的应提供相关文件证明；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供应商须提供2024或2025年度的财务审计报告(成立时间至提交响应文件截止时间不足一年的可提供成立后任意时段的资产负债表)，或其基本存款账户开户银行出具的资信证明及基本存款账户开户信息；</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经查，投标单位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供应商需提供中小企业声明函；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供应商按照采购文件要求上传响应文件并进行电子签章</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不属于采购文件规定的无效情形</w:t>
            </w:r>
          </w:p>
        </w:tc>
        <w:tc>
          <w:tcPr>
            <w:tcW w:type="dxa" w:w="3322"/>
          </w:tcPr>
          <w:p>
            <w:pPr>
              <w:pStyle w:val="null3"/>
            </w:pPr>
            <w:r>
              <w:rPr>
                <w:rFonts w:ascii="仿宋_GB2312" w:hAnsi="仿宋_GB2312" w:cs="仿宋_GB2312" w:eastAsia="仿宋_GB2312"/>
              </w:rPr>
              <w:t xml:space="preserve"> 供应商按照采购文件要求上传响应文件</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均符合磋商文件要求</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建设内容方案 （20分）</w:t>
            </w:r>
          </w:p>
        </w:tc>
        <w:tc>
          <w:tcPr>
            <w:tcW w:type="dxa" w:w="2492"/>
          </w:tcPr>
          <w:p>
            <w:pPr>
              <w:pStyle w:val="null3"/>
            </w:pPr>
            <w:r>
              <w:rPr>
                <w:rFonts w:ascii="仿宋_GB2312" w:hAnsi="仿宋_GB2312" w:cs="仿宋_GB2312" w:eastAsia="仿宋_GB2312"/>
              </w:rPr>
              <w:t>供应商须针对项目提供详细的建设内容方案，方案应充分理解采购人对于本项目的建设思路及需求，包含但不限于：对建设原则、建设要求、总体设计及特点、系统组成与核心功能模块的描述。 得分标准：1、方案理解深刻，逻辑清晰，内容详实，建设内容完全覆盖并优于磋商要求，针对性强，完全满足项目实施需要，得20分；2、方案理解较充分，逻辑较清晰，内容较完整，建设内容达到磋商要求，具有较好的针对性，得15分；3、方案理解基本到位，内容基本完整，但部分建设内容描述不够深入或略有欠缺，基本满足磋商要求，得10分；4、方案理解有偏差，内容不完整、针对性弱，存在缺陷或套用痕迹，未能有效满足磋商要求或不具备可行性，得5分；5、不提供建设内容方案，得0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项目技术方案 （20分）</w:t>
            </w:r>
          </w:p>
        </w:tc>
        <w:tc>
          <w:tcPr>
            <w:tcW w:type="dxa" w:w="2492"/>
          </w:tcPr>
          <w:p>
            <w:pPr>
              <w:pStyle w:val="null3"/>
            </w:pPr>
            <w:r>
              <w:rPr>
                <w:rFonts w:ascii="仿宋_GB2312" w:hAnsi="仿宋_GB2312" w:cs="仿宋_GB2312" w:eastAsia="仿宋_GB2312"/>
              </w:rPr>
              <w:t>供应商须提供详细的技术方案，方案应包含但不限于：技术架构、与科研大数据平台的交互方案、数据治理与分析方法、系统安全设计等方面。 得分标准：1、方案合理，内容详细，措施完善，可行性强，技术架构先进，交互方案清晰，完全满足或优于招标要求，得20分；2、方案较合理，内容较详细，措施合理，可行性较好，达到磋商要求，得15分；3、案内容有遗漏，措施欠合理，可行性较差或仅基本达到磋商要求。，得10分；4、方案不合理，内容存在重大缺陷，可行性差或低于磋商要求，得5分；5、未对上述方案进行描述，得0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拟投入项目团队（8分）</w:t>
            </w:r>
          </w:p>
        </w:tc>
        <w:tc>
          <w:tcPr>
            <w:tcW w:type="dxa" w:w="2492"/>
          </w:tcPr>
          <w:p>
            <w:pPr>
              <w:pStyle w:val="null3"/>
            </w:pPr>
            <w:r>
              <w:rPr>
                <w:rFonts w:ascii="仿宋_GB2312" w:hAnsi="仿宋_GB2312" w:cs="仿宋_GB2312" w:eastAsia="仿宋_GB2312"/>
              </w:rPr>
              <w:t>供应商或所投软件厂商实施培训团队成员具有中级及以上专业技术资格证书医护人员，提供工作场地证明和人员团队社保证明。（提供职称证复印件及供应商为其缴纳的12个月以上的社保证明并加盖公章），每提供1人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项目实施方案（10分）</w:t>
            </w:r>
          </w:p>
        </w:tc>
        <w:tc>
          <w:tcPr>
            <w:tcW w:type="dxa" w:w="2492"/>
          </w:tcPr>
          <w:p>
            <w:pPr>
              <w:pStyle w:val="null3"/>
            </w:pPr>
            <w:r>
              <w:rPr>
                <w:rFonts w:ascii="仿宋_GB2312" w:hAnsi="仿宋_GB2312" w:cs="仿宋_GB2312" w:eastAsia="仿宋_GB2312"/>
              </w:rPr>
              <w:t>供应商须针对项目制定项目实施方案，方案应包含但不限于：管理方案（包括计划、人员、沟通、风险等内容）、项目进度及验收方案、质量保障方案。 得分标准：1、方案中包含以上3个要素且充分考虑采购人的实际现状，科学规范，覆盖全面，客观、准确、可行，能完全满足或优于项目实施实际需要的，得10分；2、每缺少一项扣2分，一项有缺陷扣1分，扣完为止。 (内容缺陷是指: 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突发事件应急预案（7分）</w:t>
            </w:r>
          </w:p>
        </w:tc>
        <w:tc>
          <w:tcPr>
            <w:tcW w:type="dxa" w:w="2492"/>
          </w:tcPr>
          <w:p>
            <w:pPr>
              <w:pStyle w:val="null3"/>
            </w:pPr>
            <w:r>
              <w:rPr>
                <w:rFonts w:ascii="仿宋_GB2312" w:hAnsi="仿宋_GB2312" w:cs="仿宋_GB2312" w:eastAsia="仿宋_GB2312"/>
              </w:rPr>
              <w:t>供应商须为保障医院数据信息安全，提供详细的突发事件应急预案，方案应包含但不限于：应急预案、突发问题解决、故障的响应速度以及处理方案等。 得分标准：1、方案中包含以上4个要素且充分考虑采购人的实际现状，科学规范，覆盖全面，客观、准确、可行，能完全满足或优于项目实施实际需要的，得7分；2、 每缺少一项核心要素扣1.5分。 每有一项内容存在缺陷或不完善扣0.5分，扣完为止。（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培训方案 （10分）</w:t>
            </w:r>
          </w:p>
        </w:tc>
        <w:tc>
          <w:tcPr>
            <w:tcW w:type="dxa" w:w="2492"/>
          </w:tcPr>
          <w:p>
            <w:pPr>
              <w:pStyle w:val="null3"/>
            </w:pPr>
            <w:r>
              <w:rPr>
                <w:rFonts w:ascii="仿宋_GB2312" w:hAnsi="仿宋_GB2312" w:cs="仿宋_GB2312" w:eastAsia="仿宋_GB2312"/>
              </w:rPr>
              <w:t>供应商须提供完善的培训计划，方案应包含但不限于：培训目标、培训内容、培训对象、培训方式、培训时间安排、培训考核等。 得分标准：1、方案及计划清晰合理、有针对性、切实可行，本项得满分10分；2、方案每出现一项缺陷、不完善或缺乏针对性或其他弱势之处扣1分，扣完为止。（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业绩证明（5分）</w:t>
            </w:r>
          </w:p>
        </w:tc>
        <w:tc>
          <w:tcPr>
            <w:tcW w:type="dxa" w:w="2492"/>
          </w:tcPr>
          <w:p>
            <w:pPr>
              <w:pStyle w:val="null3"/>
            </w:pPr>
            <w:r>
              <w:rPr>
                <w:rFonts w:ascii="仿宋_GB2312" w:hAnsi="仿宋_GB2312" w:cs="仿宋_GB2312" w:eastAsia="仿宋_GB2312"/>
              </w:rPr>
              <w:t>提供自2020年1月1日以来（以签订时间为准）国内同类（医疗科研平台、专病库、数据治理或数据分析等方面的）业绩（要求已验收），每有一项得1分，不提供不得分，最多得5分。须提供合同首页、盖章页、关键服务内容页的复印件，并加盖本单位公章)。 证明材料：提供合同扫描件，不提供不得分。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 （10分）</w:t>
            </w:r>
          </w:p>
        </w:tc>
        <w:tc>
          <w:tcPr>
            <w:tcW w:type="dxa" w:w="2492"/>
          </w:tcPr>
          <w:p>
            <w:pPr>
              <w:pStyle w:val="null3"/>
            </w:pPr>
            <w:r>
              <w:rPr>
                <w:rFonts w:ascii="仿宋_GB2312" w:hAnsi="仿宋_GB2312" w:cs="仿宋_GB2312" w:eastAsia="仿宋_GB2312"/>
              </w:rPr>
              <w:t>供应商须针对项目制定售后服务方案，方案应包含但不限于：售后服务承诺、售后服务内容、售后服务响应时间等。 得分标准：1、方案中包含以上3个要素且充分考虑采购人的实际现状，科学规范，覆盖全面，客观、准确、可行，能完全满足或优于项目实施实际需要的，得满分10分；2、每缺少一项扣2分，一项有缺陷扣1分，扣完为止。 （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以满足磋商文件要求且磋商价格最低的响应报价为评标基准价，其价格分为满分10分，其他投标人的价格分按照下列公式计算：磋商报价得分=（评标基准价/响应报价）×10%×100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详见附件：标的清单-1.docx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详见附件：法定代表人证明书与授权书.docx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详见附件：技术商务服务方案.docx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