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版本号：SZY20251390169-120260310001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老旧学生公寓改造（一期）项目建议书和可行性研究报告编制单位遴选项目(二次)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SZY20251390169-1</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老旧学生公寓改造（一期）项目建议书和可行性研究报告编制单位遴选项目(二次)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SZY20251390169-1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老旧学生公寓改造（一期）项目建议书和可行性研究报告编制单位遴选项目(二次)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老旧学生公寓改造（一期）项目建议书和可行性研究报告编制单位遴选项目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磋商截止日前一年内已缴存的至少一个月的社会保险参保缴费证明)，法定代表人直接参加磋商，须提供法定代表人身份证明；</w:t>
      </w:r>
    </w:p>
    <w:p>
      <w:pPr>
        <w:pStyle w:val="null3"/>
      </w:pPr>
      <w:r>
        <w:rPr>
          <w:rFonts w:ascii="仿宋_GB2312" w:hAnsi="仿宋_GB2312" w:cs="仿宋_GB2312" w:eastAsia="仿宋_GB2312"/>
        </w:rPr>
        <w:t>2、企业资质：供应商须通过“国家投资项目在线审批监管平台”登记备案；</w:t>
      </w:r>
    </w:p>
    <w:p>
      <w:pPr>
        <w:pStyle w:val="null3"/>
      </w:pPr>
      <w:r>
        <w:rPr>
          <w:rFonts w:ascii="仿宋_GB2312" w:hAnsi="仿宋_GB2312" w:cs="仿宋_GB2312" w:eastAsia="仿宋_GB2312"/>
        </w:rPr>
        <w:t>3、拟派项目负责人：具备建筑专业咨询工程师(投资)登记证书并在本单位登记。</w:t>
      </w:r>
    </w:p>
    <w:p>
      <w:pPr>
        <w:pStyle w:val="null3"/>
      </w:pPr>
      <w:r>
        <w:rPr>
          <w:rFonts w:ascii="仿宋_GB2312" w:hAnsi="仿宋_GB2312" w:cs="仿宋_GB2312" w:eastAsia="仿宋_GB2312"/>
        </w:rPr>
        <w:t>4、关联关系：单位负责人为同一人或者存在直接控股、管理关系的不同供应商，不得同时参加同一采购活动；</w:t>
      </w:r>
    </w:p>
    <w:p>
      <w:pPr>
        <w:pStyle w:val="null3"/>
      </w:pPr>
      <w:r>
        <w:rPr>
          <w:rFonts w:ascii="仿宋_GB2312" w:hAnsi="仿宋_GB2312" w:cs="仿宋_GB2312" w:eastAsia="仿宋_GB2312"/>
        </w:rPr>
        <w:t>5、信用信息查询：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6、本项目不接受联合体磋商：本项目不接受联合体投标，供应商需保证资质文件的真实、合法、有效（提供书面声明材料）。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魏依依、李小峰、康敏茹、张艳萍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代理服务费收费标准：定额收取4000元； 账户名称：华夏国际项目管理（西安）有限公司第一分公司 开户行：中国光大银行股份有限公司西安科技六路支行 账号：78620188000199459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陕西中医药大学</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编制的项目建议书、可行性研究报告需符合国家及地方相关规范标准，确保通过专家评审会及政府主管部门的审核，顺利取得相关批复。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联系人：魏依依、李小峰、康敏茹、张艳萍</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完成陕西中医药大学校内10栋学生宿舍改造提升项目的项目建议书、可行性研究报告编制工作。涉及南校区1-8 号学生公寓、北校区1-2 号学生公寓，总建筑面积58500.24m²，包含1684 套房间，改造内容含建筑结构加固、屋面防水与建筑外立面更新等多项工程，预估投资额约10895万元。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老旧学生公寓改造（一期）项目建议书和可行性研究报告编制单位遴选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标的名称：老旧学生公寓改造（一期）项目建议书和可行性研究报告编制单位遴选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1.服务范围：完成陕西中医药大学校内10栋学生宿舍改造提升项目的项目建议书、可行性研究报告编制工作。涉及南校区1-8 号学生公寓、北校区1-2 号学生公寓，总建筑面积58500.24m²，包含1684 套房间，改造内容含建筑结构加固、屋面防水与建筑外立面更新等多项工程，预估投资额约10895万元。</w:t>
            </w:r>
          </w:p>
          <w:p>
            <w:pPr>
              <w:pStyle w:val="null3"/>
            </w:pPr>
            <w:r>
              <w:rPr>
                <w:rFonts w:ascii="仿宋_GB2312" w:hAnsi="仿宋_GB2312" w:cs="仿宋_GB2312" w:eastAsia="仿宋_GB2312"/>
              </w:rPr>
              <w:t>2.编制深度：符合国家发改委《政府投资项目可行性研究报告编写通用大纲（2023 年版）》相关要求。</w:t>
            </w:r>
          </w:p>
          <w:p>
            <w:pPr>
              <w:pStyle w:val="null3"/>
            </w:pPr>
            <w:r>
              <w:rPr>
                <w:rFonts w:ascii="仿宋_GB2312" w:hAnsi="仿宋_GB2312" w:cs="仿宋_GB2312" w:eastAsia="仿宋_GB2312"/>
              </w:rPr>
              <w:t>编制依据：需结合《陕西省政府投资管理办法》（2020 年）规定，对项目实施的必要性、主要建设内容与规模、项目选址及要素保障等多方面进行充分分析，确保项目实施的真实性、合法性、完整性。</w:t>
            </w:r>
          </w:p>
          <w:p>
            <w:pPr>
              <w:pStyle w:val="null3"/>
            </w:pPr>
            <w:r>
              <w:rPr>
                <w:rFonts w:ascii="仿宋_GB2312" w:hAnsi="仿宋_GB2312" w:cs="仿宋_GB2312" w:eastAsia="仿宋_GB2312"/>
              </w:rPr>
              <w:t>3.质量保证</w:t>
            </w:r>
          </w:p>
          <w:p>
            <w:pPr>
              <w:pStyle w:val="null3"/>
            </w:pPr>
            <w:r>
              <w:rPr>
                <w:rFonts w:ascii="仿宋_GB2312" w:hAnsi="仿宋_GB2312" w:cs="仿宋_GB2312" w:eastAsia="仿宋_GB2312"/>
              </w:rPr>
              <w:t>编制的项目建议书、可行性研究报告需符合国家及地方相关规范标准，确保通过专家评审会及政府主管部门的审核，顺利取得相关批复。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陕西省咸阳市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取得陕西省发改委关于项目建议书、可行性研究报告的批复后付款，乙方书面提出支付申请函及与拟支付金额等额的符合甲方财务管理要求的相应发票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最高限价： 项目建议书编制费：10万元； 项目可行性研究报告编制费：22万元。 项目总预算（拦标价）：32万元。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供应商需在项目电子化交易系统中按要求填写《投标函》完成承诺并进行电子签章。提供以下资料： 1、主体资格证明：具有独立承担民事责任能力的法人或其他组织，提供有效存续的营业执照或事业单位法人证书或非企业专业服务机构执业许可证或民办非企业单位登记证书或自然人的身份证明； 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3、税收缴纳证明：提供已缴纳的2024年12月起任意一个月的纳税证明或完税证明，纳税证明或完税证明上应有代收机构或税务机关的公章或业务专用章。依法免税的供应商应提供相关文件证明； 4、具有履行合同所必需的设备和专业技术能力的承诺：供应商须提供具有履行合同所必需的设备和专业技术能力的承诺； 5、社会保障资金缴纳证明：提供2024年12月起任意一个月的社会保障资金缴存单据或社保机构开具的社会保险参保缴费情况证明，依法不需要缴纳社会保障资金的单位应提供相关证明材料； 6、三年内无重大违法记录声明：出具参加本次政府采购活动前三年内在经营活动中没有重大违法记录的书面声明；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法定代表人授权书(附法定代表人、被授权人身份证复印件及被授权人磋商截止日前一年内已缴存的至少一个月的社会保险参保缴费证明)，法定代表人直接参加磋商，须提供法定代表人身份证明；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供应商须通过“国家投资项目在线审批监管平台”登记备案；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具备建筑专业咨询工程师(投资)登记证书并在本单位登记。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本项目不接受联合体投标，供应商需保证资质文件的真实、合法、有效（提供书面声明材料）。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开标一览表.docx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只能有一个有效报价，不得提交选择性报价，且报价不超过采购预算金额或最高限价及工程量清单单价最高限价。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开标一览表.docx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开标一览表.docx 中小企业声明函 磋商方案说明书.docx 报价表 供应商承诺书.docx 资格证明文件.docx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针对本项目编制总体工作方案包括但不限于：①项目区域现状分析②项目需求分析③具体工作内容分析④项目具体工作方案等内容。以上四项内容完整、不存在瑕疵，得8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需求分析与重点难点解决方案</w:t>
            </w:r>
          </w:p>
        </w:tc>
        <w:tc>
          <w:tcPr>
            <w:tcW w:type="dxa" w:w="2492"/>
          </w:tcPr>
          <w:p>
            <w:pPr>
              <w:pStyle w:val="null3"/>
            </w:pPr>
            <w:r>
              <w:rPr>
                <w:rFonts w:ascii="仿宋_GB2312" w:hAnsi="仿宋_GB2312" w:cs="仿宋_GB2312" w:eastAsia="仿宋_GB2312"/>
              </w:rPr>
              <w:t>根据本项目采购需求，分析：①需求特点②可行性研究重点、难点，并提出解决措施③确定项目组织架构④制订项目日常管理运作模式⑤制订服务保障机制。以上五项内容完整、不存在瑕疵，得10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包括但不限于：①质量目标及质量保障内容（编制的项目建议书、可行性研究报告需符合国家及地方相关规范标准，确保通过专家评审会及政府主管部门的审核，顺利取得相关批复）②质量保障措施（针对项目服务内容，确保项目实施的真实性、合法性、完整性）③质量保障组织结构等内容。以上三项内容完整、不存在瑕疵，得6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编制报告的工作方案</w:t>
            </w:r>
          </w:p>
        </w:tc>
        <w:tc>
          <w:tcPr>
            <w:tcW w:type="dxa" w:w="2492"/>
          </w:tcPr>
          <w:p>
            <w:pPr>
              <w:pStyle w:val="null3"/>
            </w:pPr>
            <w:r>
              <w:rPr>
                <w:rFonts w:ascii="仿宋_GB2312" w:hAnsi="仿宋_GB2312" w:cs="仿宋_GB2312" w:eastAsia="仿宋_GB2312"/>
              </w:rPr>
              <w:t>根据供应商对项目需求的理解程度，报告编制工作方案包括：①报告的编制思路②编制标准③编制方法④编制出现问题的解决措施。以上四项内容完整、不存在瑕疵，得8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供应商可根据承担类似项目编制经验，结合本项目实际情况提出合理化建议，包括但不限于：①更有利于本项目进行管理的建议②造价控制的合理化建议③对本项目整体理解思路，可融入理念创新等。 以上三项内容完整、不存在瑕疵，得6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根据供应商提供的后续服务方案，包括但不限于：①增值服务、服务承诺及保障措施②廉洁保密承诺等。以上二项内容完整、不存在瑕疵，得4分；每缺一项扣2分，存在瑕疵的一项扣1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具有高级技术职称，得3分； 具有中级技术职称，得2分； 需提供证书复印件加盖单位公章，未按要求提供不得分。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其他项目团队成员</w:t>
            </w:r>
          </w:p>
        </w:tc>
        <w:tc>
          <w:tcPr>
            <w:tcW w:type="dxa" w:w="2492"/>
          </w:tcPr>
          <w:p>
            <w:pPr>
              <w:pStyle w:val="null3"/>
            </w:pPr>
            <w:r>
              <w:rPr>
                <w:rFonts w:ascii="仿宋_GB2312" w:hAnsi="仿宋_GB2312" w:cs="仿宋_GB2312" w:eastAsia="仿宋_GB2312"/>
              </w:rPr>
              <w:t>1.具有高级职称证书，每提供1个得2分，本项最高得6分； 2.具有咨询工程师资格证书或造价工程师或注册规划师或一级注册建筑师资格证书，每提供一个得1分，本项最高得6分； 注：需提供证书复印件加盖单位公章，未按要求提供不得分。不包括项目负责人。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企业信誉</w:t>
            </w:r>
          </w:p>
        </w:tc>
        <w:tc>
          <w:tcPr>
            <w:tcW w:type="dxa" w:w="2492"/>
          </w:tcPr>
          <w:p>
            <w:pPr>
              <w:pStyle w:val="null3"/>
            </w:pPr>
            <w:r>
              <w:rPr>
                <w:rFonts w:ascii="仿宋_GB2312" w:hAnsi="仿宋_GB2312" w:cs="仿宋_GB2312" w:eastAsia="仿宋_GB2312"/>
              </w:rPr>
              <w:t>质量管理体系认证证书、职业健康安全管理体系认证证书、环境管理体系认证证书的，每个证书得1分。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供应商2022年12月至磋商截止时间前类似项目业绩；每提供1份计2分，最高得10分。业绩证明（以合同签订时间为准，须在响应文件中附以上证明材料的扫描件加盖单位公章，弄虚作假者，取消其成交资格。）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