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版本号：SNJZ-2026-10620260312001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智慧农业产教融合实践创新中心电感耦合等离子体质谱仪采购项目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SNJZ-2026-106</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智慧农业产教融合实践创新中心电感耦合等离子体质谱仪采购项目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智慧农业产教融合实践创新中心电感耦合等离子体质谱仪采购项目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电感耦合等离子体质谱仪，可构建行业内先进的农产品质量分析和检测平台，能够快速精准的进行农残各类成分定量及定性分析，满足学生和教师对农产品质量检测要求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1、营业执照或其他证明资料：具有独立承担民事责任能力的法人、其他组织或自然人，提供营业执照副本/事业单位法人证书副本/非企业专业服务机构执业许可证副本/自然人身份证。</w:t>
      </w:r>
    </w:p>
    <w:p>
      <w:pPr>
        <w:pStyle w:val="null3"/>
      </w:pPr>
      <w:r>
        <w:rPr>
          <w:rFonts w:ascii="仿宋_GB2312" w:hAnsi="仿宋_GB2312" w:cs="仿宋_GB2312" w:eastAsia="仿宋_GB2312"/>
        </w:rPr>
        <w:t>2、法定代表人身份证明或法定代表人授权委托书：法定代表人参加投标时，提供法定代表人证明书；授权代表参加投标时，提供法定代表人授权书；非法人单位参照执行。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6、履行能力承诺：提供具有履行本合同所必需的设备和专业技术能力的承诺书。</w:t>
      </w:r>
    </w:p>
    <w:p>
      <w:pPr>
        <w:pStyle w:val="null3"/>
      </w:pPr>
      <w:r>
        <w:rPr>
          <w:rFonts w:ascii="仿宋_GB2312" w:hAnsi="仿宋_GB2312" w:cs="仿宋_GB2312" w:eastAsia="仿宋_GB2312"/>
        </w:rPr>
        <w:t>7、进口产品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8、无违法记录声明：提供参加政府采购活动前三年内在经营活动中没有重大违法记录的书面声明。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陕西农林职业技术大学（原杨凌职业技术学院）经办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左建强 王力 程钰 崔斌 鲁方方 马子啸 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说明：签订签订合同后，中标商须向学校缴纳相当于中标金额5%的履约保证金。所缴纳的5%履约保证金，在终验结束确认无质量问题后，一次性无息退还。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按照原国家计委《招标代理服务收费管理暂行办法》(计价格[2002]1980号)及发改办价格[2003]857号文件规定的收费标准下浮20%，向陕西教育招标有限责任公司交纳招标代理服务费,招标代理服务费采用现金、电汇或银行转账方式交纳，不得采用投标保证金抵扣。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联系人：左建强</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电感耦合等离子体质谱仪，可构建行业内先进的农产品质量分析和检测平台，能够快速精准的进行农残各类成分定量及定性分析，满足学生和教师对农产品质量检测要求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电感耦合等离子体质谱仪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标的名称：电感耦合等离子体质谱仪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9"/>
              <w:gridCol w:w="2123"/>
            </w:tblGrid>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电感耦合等离子体质谱仪</w:t>
                  </w:r>
                </w:p>
              </w:tc>
              <w:tc>
                <w:tcPr>
                  <w:tcW w:type="dxa" w:w="2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1.能够在碰撞或反应模式中引入质量筛选功能以实现更有效的多原子离子干扰去除效果，实现对复杂基体样品的准确分析。</w:t>
                  </w:r>
                  <w:r>
                    <w:br/>
                  </w:r>
                  <w:r>
                    <w:rPr>
                      <w:rFonts w:ascii="仿宋_GB2312" w:hAnsi="仿宋_GB2312" w:cs="仿宋_GB2312" w:eastAsia="仿宋_GB2312"/>
                      <w:sz w:val="19"/>
                    </w:rPr>
                    <w:t>2.仪器整体具有两套可实现质量筛选功能的四极杆。</w:t>
                  </w:r>
                  <w:r>
                    <w:br/>
                  </w:r>
                  <w:r>
                    <w:rPr>
                      <w:rFonts w:ascii="仿宋_GB2312" w:hAnsi="仿宋_GB2312" w:cs="仿宋_GB2312" w:eastAsia="仿宋_GB2312"/>
                      <w:sz w:val="19"/>
                    </w:rPr>
                    <w:t>3.雾化器：具备同心普通雾化器和耐高盐性能的同心雾化器。</w:t>
                  </w:r>
                  <w:r>
                    <w:br/>
                  </w:r>
                  <w:r>
                    <w:rPr>
                      <w:rFonts w:ascii="仿宋_GB2312" w:hAnsi="仿宋_GB2312" w:cs="仿宋_GB2312" w:eastAsia="仿宋_GB2312"/>
                      <w:sz w:val="19"/>
                    </w:rPr>
                    <w:t>4.蠕动泵：采用非金属材质的惰性四通道以上蠕动泵；蠕动泵系统可调转动速度≥40rpm。</w:t>
                  </w:r>
                  <w:r>
                    <w:br/>
                  </w:r>
                  <w:r>
                    <w:rPr>
                      <w:rFonts w:ascii="仿宋_GB2312" w:hAnsi="仿宋_GB2312" w:cs="仿宋_GB2312" w:eastAsia="仿宋_GB2312"/>
                      <w:sz w:val="19"/>
                    </w:rPr>
                    <w:t>5.炬管：采用自动连接等离子气，辅助气气路的炬管设计，可配置多种口径中心管的分体式石英炬管。中心管：可拆卸式中心管。</w:t>
                  </w:r>
                  <w:r>
                    <w:br/>
                  </w:r>
                  <w:r>
                    <w:rPr>
                      <w:rFonts w:ascii="仿宋_GB2312" w:hAnsi="仿宋_GB2312" w:cs="仿宋_GB2312" w:eastAsia="仿宋_GB2312"/>
                      <w:sz w:val="19"/>
                    </w:rPr>
                    <w:t>6.具有等离子体可视功能。</w:t>
                  </w:r>
                  <w:r>
                    <w:br/>
                  </w:r>
                  <w:r>
                    <w:rPr>
                      <w:rFonts w:ascii="仿宋_GB2312" w:hAnsi="仿宋_GB2312" w:cs="仿宋_GB2312" w:eastAsia="仿宋_GB2312"/>
                      <w:sz w:val="19"/>
                    </w:rPr>
                    <w:t>▲7.离子源：≥30MHz工作频率驱动的自激式全固态RF发生器；功率在500-1550W范围内连续可调，调节精度≤1W。（接口：具有工作线圈和接口的二次放电消除功能，接口尺寸：采样锥口径≤1.1mm，截取锥口径≤1.0mm。），采用虚拟接地技术或者配备20套屏蔽炬。</w:t>
                  </w:r>
                  <w:r>
                    <w:br/>
                  </w:r>
                  <w:r>
                    <w:rPr>
                      <w:rFonts w:ascii="仿宋_GB2312" w:hAnsi="仿宋_GB2312" w:cs="仿宋_GB2312" w:eastAsia="仿宋_GB2312"/>
                      <w:sz w:val="19"/>
                    </w:rPr>
                    <w:t>8.正交离子偏转聚焦系统：在接口后部配置一套正交离子偏转聚焦系统，同时实现离子偏转聚焦和一致离子束展宽两个功能；</w:t>
                  </w:r>
                  <w:r>
                    <w:br/>
                  </w:r>
                  <w:r>
                    <w:rPr>
                      <w:rFonts w:ascii="仿宋_GB2312" w:hAnsi="仿宋_GB2312" w:cs="仿宋_GB2312" w:eastAsia="仿宋_GB2312"/>
                      <w:sz w:val="19"/>
                    </w:rPr>
                    <w:t>▲9.四极杆碰撞反应池：具有一套可实现质量筛选功能的四极杆并要求具有轴向加速功能。池体应具备碰撞聚焦功能，灵敏度：238U≥1000Mcps/ppm。</w:t>
                  </w:r>
                  <w:r>
                    <w:br/>
                  </w:r>
                  <w:r>
                    <w:rPr>
                      <w:rFonts w:ascii="仿宋_GB2312" w:hAnsi="仿宋_GB2312" w:cs="仿宋_GB2312" w:eastAsia="仿宋_GB2312"/>
                      <w:sz w:val="19"/>
                    </w:rPr>
                    <w:t>10.</w:t>
                  </w:r>
                  <w:r>
                    <w:rPr>
                      <w:rFonts w:ascii="仿宋_GB2312" w:hAnsi="仿宋_GB2312" w:cs="仿宋_GB2312" w:eastAsia="仿宋_GB2312"/>
                      <w:sz w:val="19"/>
                    </w:rPr>
                    <w:t xml:space="preserve"> </w:t>
                  </w:r>
                  <w:r>
                    <w:rPr>
                      <w:rFonts w:ascii="仿宋_GB2312" w:hAnsi="仿宋_GB2312" w:cs="仿宋_GB2312" w:eastAsia="仿宋_GB2312"/>
                      <w:sz w:val="19"/>
                    </w:rPr>
                    <w:t>单次分析中，具备标准模式（</w:t>
                  </w:r>
                  <w:r>
                    <w:rPr>
                      <w:rFonts w:ascii="仿宋_GB2312" w:hAnsi="仿宋_GB2312" w:cs="仿宋_GB2312" w:eastAsia="仿宋_GB2312"/>
                      <w:sz w:val="19"/>
                    </w:rPr>
                    <w:t>STD模式）、碰撞模式（KED模式）和反应模式（CCT模式）三种模式切换。。</w:t>
                  </w:r>
                  <w:r>
                    <w:br/>
                  </w:r>
                  <w:r>
                    <w:rPr>
                      <w:rFonts w:ascii="仿宋_GB2312" w:hAnsi="仿宋_GB2312" w:cs="仿宋_GB2312" w:eastAsia="仿宋_GB2312"/>
                      <w:sz w:val="19"/>
                    </w:rPr>
                    <w:t>11.质谱范围：2-285amu。四极杆驱动频率≤2.5MHz。自动进样器：进样位数≥200位。</w:t>
                  </w:r>
                  <w:r>
                    <w:br/>
                  </w:r>
                  <w:r>
                    <w:rPr>
                      <w:rFonts w:ascii="仿宋_GB2312" w:hAnsi="仿宋_GB2312" w:cs="仿宋_GB2312" w:eastAsia="仿宋_GB2312"/>
                      <w:sz w:val="19"/>
                    </w:rPr>
                    <w:t>12.标准模式下灵敏度：轻质量数(Li或Be): &gt; 60Mcps/ppm，中质量数(Y或In): &gt; 270Mcps/ppm ，高质量数(Tl或U): &gt; 340Mcps/ppm 。标准模式下仪器检出限：轻质量元素:＜0.5ppt，中质量数元素:＜0.1ppt，高质量数元素:＜0.1ppt。标准模式下（无气体）随机背景：＜0.45cps (5amu)。碰撞模式下灵敏度：中质量数(Co): &gt; 40Mcps/ppm。碰撞模式下仪器检出限： 轻质量元素:＜0.5ppt，中质量数元素:＜0.1ppt，高质量数元素:＜0.1ppt。 碰撞模式下（KED）随机背景：＜0.45cps (5amu)。氧化物及双电荷：氧化物离子(CeO+/Ce+)＜2.5%，双电荷粒子（Ba++/Ba+）＜3.5%。</w:t>
                  </w:r>
                  <w:r>
                    <w:br/>
                  </w:r>
                  <w:r>
                    <w:rPr>
                      <w:rFonts w:ascii="仿宋_GB2312" w:hAnsi="仿宋_GB2312" w:cs="仿宋_GB2312" w:eastAsia="仿宋_GB2312"/>
                      <w:sz w:val="19"/>
                    </w:rPr>
                    <w:t>13.质谱校正稳定性: ≤ 0.025 amu/24hr。</w:t>
                  </w:r>
                  <w:r>
                    <w:br/>
                  </w:r>
                  <w:r>
                    <w:rPr>
                      <w:rFonts w:ascii="仿宋_GB2312" w:hAnsi="仿宋_GB2312" w:cs="仿宋_GB2312" w:eastAsia="仿宋_GB2312"/>
                      <w:sz w:val="19"/>
                    </w:rPr>
                    <w:t>14.配置要求：电感耦合等离子体质谱仪主机：1套；单分散相行为分析模块：*1套； 离散个体通量解析模块：*1套；采样锥：2个 ；截取锥：2个 ；截取锥片嵌：2个；采样锥石墨垫圈：20个；进样泵管：20根；废液泵管20根；耐腐蚀毛细管，排废液用：1包；耐腐蚀毛细管，引入样品/内标用：1包；石英炬管： 3个；石英中心管：2个；石英雾化器：2个；循环冷却水系统：1套；自动进样器：1套；在线内标加入三通：1个 ；内标泵管：20根；转接头：2个；电脑：1套（配置 不低于i7 的处理器，独立显卡，≥32G 内存，≥1T 固态硬盘，≥24英寸显示器，打印机1台黑白双面激光打印机，打印分辨率:≥600*600dpi;打印速度≥14页/分钟。）；配套品牌不间断电源</w:t>
                  </w:r>
                  <w:r>
                    <w:rPr>
                      <w:rFonts w:ascii="仿宋_GB2312" w:hAnsi="仿宋_GB2312" w:cs="仿宋_GB2312" w:eastAsia="仿宋_GB2312"/>
                      <w:sz w:val="19"/>
                    </w:rPr>
                    <w:t>（</w:t>
                  </w:r>
                  <w:r>
                    <w:rPr>
                      <w:rFonts w:ascii="仿宋_GB2312" w:hAnsi="仿宋_GB2312" w:cs="仿宋_GB2312" w:eastAsia="仿宋_GB2312"/>
                      <w:sz w:val="19"/>
                    </w:rPr>
                    <w:t>10KVA，延时1小时）</w:t>
                  </w:r>
                  <w:r>
                    <w:rPr>
                      <w:rFonts w:ascii="仿宋_GB2312" w:hAnsi="仿宋_GB2312" w:cs="仿宋_GB2312" w:eastAsia="仿宋_GB2312"/>
                      <w:sz w:val="19"/>
                    </w:rPr>
                    <w:t>：</w:t>
                  </w:r>
                  <w:r>
                    <w:rPr>
                      <w:rFonts w:ascii="仿宋_GB2312" w:hAnsi="仿宋_GB2312" w:cs="仿宋_GB2312" w:eastAsia="仿宋_GB2312"/>
                      <w:sz w:val="19"/>
                    </w:rPr>
                    <w:t>1套；He钢瓶气及减压阀：3套；电感耦合等离子体质谱仪软件：1套。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按招标文件、投标文件和合同约定执行。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按招标文件、投标文件和合同约定执行。</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签订合同后，中标供应商须向学校缴纳相当于中标金额5%的履约保证金。进口产品付款条件：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1、设备质保期（保修期）为三年，自设备终验合格之日起开始计算（供应商所交付产品必须为全新设备，不得提供翻新机、二手设备等非全新设备）。 2、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免费回访，及时为设备进行检查和问诊。质保期满后乙方继续承担仪器的终身维护，对甲方提供支持，如回答甲方提出的问题、排除甲方的软、硬件故障等，并按成本价格酌情收取部件维修或更换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（1）项目说明： 1、本项目允许采购进口产品。如果因信息不对称等原因，仍有满足需求的国内产品要求参与采购竞争的，采购人及其委托的采购代理机构不对其加以限制，按照公平竞争原则实施采购。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3、投标有效期：本项目投标有效期为从开标之日起120日历天。中标供应商的投标文件有效期自动延长合同履行完毕。 （2）投标报价说明： 1、进口设备报含税报价，含税报价包含货物价值、安装调试费、国内外运杂费（含保险）、仓储保管费、技术培训费、检测费、施工费、人工费、进口业务相关费用（按合同货款金额的0.65%收取。包括外贸代理公司进口业务代理费、国内外银行手续费、报关费、商检费等）及进口货物按国家政策征收的一切税费等，其中税款退回由外贸公司协助学校办理，所退税款全额返还学校。 2、以招标文件的内容和要求作为响应依据；进口产品（经专家论证允许采购的情况下）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（3）其他备注说明 （因本项目使用电子招投标系统，格式无法调整，招标文件中其他部分与本部分不一致时以本部分要求为准） 在合同履行过程中，如发生合同纠纷，合同双方应按照中华人民共和国法律解释，按照《中华人民共和国民法典》规定及合同条款约定进行处理。 本项目已通过进口产品论证，投标文件中接受外文资料，但主要部分仍应对应翻译成中文并附在相关外文资料后面。 3、本项目不强制要求文件第2.4.4知识产权第二条要求。（4）最终评审价格：项目价格扣除总比例为30%，其中小微企业（评审内容1）为10%，本国产品（评审内容2）20%。最终评审价格=投标报价-评审内容1扣除的价格-评审内容2扣除的价格。受系统限制，本招标文件中与价格扣除有关的所以规定，均以第5章评标办法5.6.2评分标准“具体标准和要求”中的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具有独立承担民事责任能力的法人、其他组织或自然人，提供营业执照副本/事业单位法人证书副本/非企业专业服务机构执业许可证副本/自然人身份证。</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法定代表人授权书（证明书）.docx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进口产品授权书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满足政府采购法第二十二条及特殊资格证明材料.docx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主要依据《关于推动解决政府采购异常低价问题的通知》（财库〔2026〕2号））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投标有效期不得小于120天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技术规格响应偏离表.docx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 ，否则投标文件按无效处理。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不满足招标文件“3.4商务要求和3.5其他要求”的，投标无效。</w:t>
            </w:r>
          </w:p>
        </w:tc>
        <w:tc>
          <w:tcPr>
            <w:tcW w:type="dxa" w:w="1661"/>
          </w:tcPr>
          <w:p>
            <w:pPr>
              <w:pStyle w:val="null3"/>
            </w:pPr>
            <w:r>
              <w:rPr>
                <w:rFonts w:ascii="仿宋_GB2312" w:hAnsi="仿宋_GB2312" w:cs="仿宋_GB2312" w:eastAsia="仿宋_GB2312"/>
              </w:rPr>
              <w:t>商务条款响应偏离表(1).docx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“▲”项响应情况</w:t>
            </w:r>
          </w:p>
        </w:tc>
        <w:tc>
          <w:tcPr>
            <w:tcW w:type="dxa" w:w="2492"/>
          </w:tcPr>
          <w:p>
            <w:pPr>
              <w:pStyle w:val="null3"/>
            </w:pPr>
            <w:r>
              <w:rPr>
                <w:rFonts w:ascii="仿宋_GB2312" w:hAnsi="仿宋_GB2312" w:cs="仿宋_GB2312" w:eastAsia="仿宋_GB2312"/>
              </w:rPr>
              <w:t>根据“技术参数与性能指标”中“▲”项技术参数响应情况赋分。每项参数完全响应得3分（共2项），满分6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非“▲”项响应情况</w:t>
            </w:r>
          </w:p>
        </w:tc>
        <w:tc>
          <w:tcPr>
            <w:tcW w:type="dxa" w:w="2492"/>
          </w:tcPr>
          <w:p>
            <w:pPr>
              <w:pStyle w:val="null3"/>
            </w:pPr>
            <w:r>
              <w:rPr>
                <w:rFonts w:ascii="仿宋_GB2312" w:hAnsi="仿宋_GB2312" w:cs="仿宋_GB2312" w:eastAsia="仿宋_GB2312"/>
              </w:rPr>
              <w:t>根据“技术参数与性能指标”中非“▲”项（共12项）技术参数响应情况赋分。每项参数完全响应得2分，全部响应得满分24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根据本项目实际需求及特点，制定项目实施方案（包括供货方案、进度计划等内容）。 二、评审标准 1、完整性：方案必须全面，对评审内容中的各项要求有详细描述； 2、可实施性：切合本项目实际情况，提出步骤清晰、合理的方案； 3、针对性：方案能够紧扣项目实际情况， 内容科学合理。 三、赋分标准（满分 4.5分） 每完全满足一个评审标准得1.5分，存在瑕疵得0.5分，满分4.5分。未提供方案或方案存在重大缺陷得0分。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根据项目实际需要，提供质量保证方案（质量保证措施、质量保证承诺等）。 二、评审标准 1、完整性：方案必须全面，对评审内容中的各项要求有详细描述； 2、可实施性：切合本项目实际情况，提出步骤清晰、合理的方案； 3、针对性：方案能够紧扣项目实际情况， 内容科学合理。 三、赋分标准（满分4.5分） 每完全满足一个评审标准得1.5分，存在瑕疵得0.5分，满分4.5分。未提供方案或方案存在重大缺陷得0分。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一、评审内容 提供实施团队方案（包括团队人员数量、证书证件、职称、经验分工等）。 二、评审标准 1、完整性：方案必须全面，对评审内容中的各项要求有详细描述； 2、针对性：方案能够紧扣项目实际情况，内容科学合理； 3、可实施性：切合本项目实际情况，提出步骤清晰、合理的方案；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根据项目实际需求，提供针对本项目的售后服务方案（包含售后范围、巡检方案等内容）。 二、评审标准 1、完整性：方案必须全面，对评审内容中的各项要求有详细描述； 2、可实施性：切合本项目实际情况，提出步骤清晰、合理的方 案； 3、针对性：方案能够紧扣项目实际情况， 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故障处理</w:t>
            </w:r>
          </w:p>
        </w:tc>
        <w:tc>
          <w:tcPr>
            <w:tcW w:type="dxa" w:w="2492"/>
          </w:tcPr>
          <w:p>
            <w:pPr>
              <w:pStyle w:val="null3"/>
            </w:pPr>
            <w:r>
              <w:rPr>
                <w:rFonts w:ascii="仿宋_GB2312" w:hAnsi="仿宋_GB2312" w:cs="仿宋_GB2312" w:eastAsia="仿宋_GB2312"/>
              </w:rPr>
              <w:t>一、评审内容 根据项目实际需求，提供针对本项目的售后服务方案（包含响应时间、故障处理措施、应急方案等）。 二、评审标准 1、完整性：方案必须全面，对评审内容中的各项要求有详细描述； 2、可实施性：切合本项目实际情况， 提出步骤清晰、合理的方 案； 3、针对性：方案能够紧扣项目实际情况， 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质保期外服务</w:t>
            </w:r>
          </w:p>
        </w:tc>
        <w:tc>
          <w:tcPr>
            <w:tcW w:type="dxa" w:w="2492"/>
          </w:tcPr>
          <w:p>
            <w:pPr>
              <w:pStyle w:val="null3"/>
            </w:pPr>
            <w:r>
              <w:rPr>
                <w:rFonts w:ascii="仿宋_GB2312" w:hAnsi="仿宋_GB2312" w:cs="仿宋_GB2312" w:eastAsia="仿宋_GB2312"/>
              </w:rPr>
              <w:t>供应商所投产品质保期在满足招标文件要求的基础上，每增加1年 得1分，最高得3分，不提供不得分。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投标产品具有国家确定的认证机构出具的、处于有效期内的中国节能产品、中国环境标志产品认证证书的，每类产品加0.5分，最高得1分。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根据项目实际需要，制定与本次采购产品相配套的培训方案（包含培训目标及计划、培训内容及方式）。 二、评审标准 1、完整性：方案必须全面，对评审内容中的各项要求有详细描 述； 2、可实施性：切合本项目实际情况，提出步骤清晰、合理的方案； 3、针对性：方案能够紧扣项目实际情况，内容科学合理。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提供2023年1月1日至今同类产品业绩，以合同（复印件加盖公章，若复印件内容不清楚，导致专家无法辨认，本项不得分，后果由投标单位自行承担）为准，每提供1份得1分，最高得5分。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其中：Pmin：合格投标单位投标报价中的最低价。Pn：第n个合格投标单位的投标报价。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评审内容1：小型、微型企业，监狱企业，残疾人福利性单位。 适用情形：投标人或联合体成员均为小型、微型企业。 扣除比例：10%。 具体标准：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评审内容2：既有本国产品又有非本国产品参与竞争。 适用情形：允许购买进口设备的品目，投标人使用国产产品参与竞争。 扣除比例：20%。 具体标准：根据《国务院办公厅关于在政府采购中实施本国产品标准及相关政策的通知》规定，对符合通知要求的国产产品，在评审中给予价格扣除，用扣除后的价格参加评审。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最终评审价格：项目价格扣除总比例为30%，其中小微企业（评审内容1）为10%，本国产品（评审内容2）20%。最终评审价格=投标报价-评审内容1扣除的价格-评审内容2扣除的价格。受系统限制，本招标文件中与价格扣除有关的所以规定，均以本表“具体标准和要求”中的内容为准。</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详见附件：满足政府采购法第二十二条及特殊资格证明材料.docx</w:t>
      </w:r>
    </w:p>
    <w:p>
      <w:pPr>
        <w:pStyle w:val="null3"/>
        <w:ind w:firstLine="960"/>
      </w:pPr>
      <w:r>
        <w:rPr>
          <w:rFonts w:ascii="仿宋_GB2312" w:hAnsi="仿宋_GB2312" w:cs="仿宋_GB2312" w:eastAsia="仿宋_GB2312"/>
        </w:rPr>
        <w:t>详见附件：商务条款响应偏离表(1).docx</w:t>
      </w:r>
    </w:p>
    <w:p>
      <w:pPr>
        <w:pStyle w:val="null3"/>
        <w:ind w:firstLine="960"/>
      </w:pPr>
      <w:r>
        <w:rPr>
          <w:rFonts w:ascii="仿宋_GB2312" w:hAnsi="仿宋_GB2312" w:cs="仿宋_GB2312" w:eastAsia="仿宋_GB2312"/>
        </w:rPr>
        <w:t>详见附件：投标方案证明材料.docx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