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版本号：ZDJ125／054ZSA20260319002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心脏康复心肺测试系统采购项目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ZDJ125／054ZSA</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心脏康复心肺测试系统采购项目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ZDJ125／054ZSA</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心脏康复心肺测试系统采购项目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陕西中医药大学第二附属医院心脏康复运动心肺测试系统采购（包括心肺数据管理系统、负荷运动训练系统、抗阻训练系统），具体内容以招标文件要求为准。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投标人为经销商的应出具《医疗器械经营许可证》（或《医疗器械经营备案凭证》）和制造厂商的《医疗器械生产许可证》（或《医疗器械生产备案凭证》）；投标人为制造厂商的应出具《医疗器械生产许可证》（《或医疗器械生产备案凭证》）。所投产品如属于医疗器械管理的应出具《医疗器械注册证》或《医疗器械备案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咸阳市渭阳西路5号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陕西中医药大学第二附属医院经办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02933350559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卓腾、王亚妮、杨东华、王树森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029-82471109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采购包1：1,328,400.00元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代理服务费收费标准：依据《招标代理服务收费管理暂行办法》（计价格[2002]1980号）规定标准下浮50%收取，由中标单位在领取成交通知书前一次性支付代理服务费。 开户名称：正大方略工程咨询有限公司 开户行：西安银行股份有限公司东二环南段支行 账号：209011580000076430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1、验收要求：乙方按照甲方要求将全部货物送到甲方指定地点进行安装、调试，并对甲方工作人员进行培训，完成后向甲方提出验收申请，甲方须在乙方提出书面验收申请之日起 2 个工作日内，组织验收工作。甲乙双方验收人员共同对货物的外观、数量、商标、型号、规格及性能等进行验收，验收合格后甲乙双方共同签署验收单。验收不合格的，乙方应于7日内进行重新配送，交货日期不予延长，超过交货期限的，乙方按照本合同第十三条第1款向甲方支付延期交货违约金。 2、验收标准：应按照国家相关法律法规要求及相关质量体系认证标准为准。 3、验收依据：单证齐全，应有产品合格证、质量证明、使用说明、保修保质证明、发票和其他应当具有的单证，并符合国家法律、法规对该产品规定的国家标准的要求。 4、货物验收单仅证明乙方所提供的货物截止出具验收单之日时可以按合同要求予以接受，但不能视为乙方对货物存在的潜在缺陷责任的解除。此验收不作为对货物内质量认定的依据。</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联系人：卓腾、王亚妮、杨东华、王树森</w:t>
      </w:r>
    </w:p>
    <w:p>
      <w:pPr>
        <w:pStyle w:val="null3"/>
      </w:pPr>
      <w:r>
        <w:rPr>
          <w:rFonts w:ascii="仿宋_GB2312" w:hAnsi="仿宋_GB2312" w:cs="仿宋_GB2312" w:eastAsia="仿宋_GB2312"/>
        </w:rPr>
        <w:t>联系电话：029-82471109</w:t>
      </w:r>
    </w:p>
    <w:p>
      <w:pPr>
        <w:pStyle w:val="null3"/>
      </w:pPr>
      <w:r>
        <w:rPr>
          <w:rFonts w:ascii="仿宋_GB2312" w:hAnsi="仿宋_GB2312" w:cs="仿宋_GB2312" w:eastAsia="仿宋_GB2312"/>
        </w:rPr>
        <w:t>地址：陕西省西安市雁塔区南二环东段22号凯森盛世1号A座26层经营一部</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陕西中医药大学第二附属医院心脏康复运动心肺测试系统采购（包括心肺数据管理系统、负荷运动训练系统、抗阻训练系统），具体内容以招标文件要求为准。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1,328,400.00</w:t>
      </w:r>
    </w:p>
    <w:p>
      <w:pPr>
        <w:pStyle w:val="null3"/>
      </w:pPr>
      <w:r>
        <w:rPr>
          <w:rFonts w:ascii="仿宋_GB2312" w:hAnsi="仿宋_GB2312" w:cs="仿宋_GB2312" w:eastAsia="仿宋_GB2312"/>
        </w:rPr>
        <w:t>采购包最高限价（元）: 1,328,400.00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运动心肺测试系统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心肺数据管理系统负荷运动训练测试系统抗阻训练</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568,400.00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标的名称：运动心肺测试系统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27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内容</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是否须提供证明资料</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1、硬件要求</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运动心电设备</w:t>
                  </w:r>
                  <w:r>
                    <w:rPr>
                      <w:rFonts w:ascii="仿宋_GB2312" w:hAnsi="仿宋_GB2312" w:cs="仿宋_GB2312" w:eastAsia="仿宋_GB2312"/>
                      <w:sz w:val="20"/>
                    </w:rPr>
                    <w:t>1套，运动肺功能主机1台，血氧饱和监护仪1套，负荷运动血压仪1套，彩色激光打印机1台，运动踏车1套。</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2、设备参数</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2.1主机系统：中英文操作系统，中文报告输出。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2.2采样率：≥10000Hz。</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4.</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2.3时间常数：≥3.5s。</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2.4共模抑制比：≥90DB。</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2.5频率：0.05-150Hz，ST段等低频信号不失真，测量准确。</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2.6St段分析：自动分析12导St段波形，实现st段对比与St斜率分析， 并且提供趋势图。</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2.7具有实时十二导运动前静止心电图自动分析诊断功能。</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2.8具有25Hz低通滤波和40Hz高通滤波功能。</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rPr>
                    <w:t>2.9心肺同步分析，心电界面可实时显示肺功能代谢指标。</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3、运动肺功能测试参数</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3.1流量测量范围：0-15L/s。</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3.2气体采样: 一口气法采样。</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3.3二氧化碳分析器：测试范围：0-17%。</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3.4通气功能：最大肺活量VCmax、潮气量VT,、呼吸频率BF, 每分通气量MV、深吸气量IC等。</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3.5流量容积环和用力时间肺活量：用力肺活量FVC、一秒量FEV1、峰值呼气流速PEF、25%呼气流量MEF25、MEF50、MEF75、中段呼气流量MEF25-75、一秒率等。</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3.6提供≥4种无氧阈值评估方法，均可按照设置自动评估无氧阈值，并且可以手动进行调整，调整后的内容可保存并形成报告；可评估无氧阈值和自动评估呼吸补偿点。</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3.7具备≥10次测试参数进行对比分析功能。</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18.</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3.8校正：具有环境压力自动补偿校准功能，自动对流速进行系统零点和增益校正。</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3.9软件功能：自动分析检测结果，可以观察选择最佳测定结果。</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4、运动血压性能参数</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rPr>
                    <w:t>4.1运动血压具有独立注册证。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21.</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4.2心肺软件可直接控制运动血压计自动或手动测量。</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4.3测量范围：收缩压：≥50 ~ 250 mmHg，舒张压：≥30 ~ 150 mmHg。</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rPr>
                    <w:t>4.4脉率测量范围：40-210bpm</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24.</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5、运动踏车参数</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5.1踏车主机：具有内置控制主机。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5.2功率调节范围：1-900w。精度≤1W</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5.3屏幕车头旋转180°，方便医生查看患者信息。</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5.4功率车承重≥150kg。</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rPr>
                    <w:t>5.5运动踏车具有注册证或与主机一体化注册</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29.</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6、血氧饱和度</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6.1测量范围：≥70-100%</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6.2精度：≤2%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7、整机要求</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rPr>
                    <w:t>7.1整机设备提供医疗器械注册证，运动心电图和肺功能模块为同一品牌。</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32.</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7.2软件需能控制其他运动附属部件，如运动踏车，运动血压等设备，同时控制肺功能软件实现同步数据的采集。</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7.3心电软件软件能够实时的将心率、血压、运动功率的数据传送到肺功能测试系统中，与气体代谢数据实时同步。</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pPr>
      <w:r>
        <w:rPr>
          <w:rFonts w:ascii="仿宋_GB2312" w:hAnsi="仿宋_GB2312" w:cs="仿宋_GB2312" w:eastAsia="仿宋_GB2312"/>
        </w:rPr>
        <w:t>标的名称：心肺数据管理系统负荷运动训练测试系统抗阻训练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8"/>
              <w:gridCol w:w="318"/>
              <w:gridCol w:w="1780"/>
              <w:gridCol w:w="266"/>
            </w:tblGrid>
            <w:tr>
              <w:tc>
                <w:tcPr>
                  <w:tcW w:type="dxa" w:w="2542"/>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一、</w:t>
                  </w:r>
                  <w:r>
                    <w:rPr>
                      <w:rFonts w:ascii="仿宋_GB2312" w:hAnsi="仿宋_GB2312" w:cs="仿宋_GB2312" w:eastAsia="仿宋_GB2312"/>
                      <w:sz w:val="21"/>
                      <w:b/>
                    </w:rPr>
                    <w:t>心肺数据管理系统</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0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内容</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是否须提供证明资料</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1、患者基本信息读取及管理</w:t>
                  </w:r>
                </w:p>
              </w:tc>
              <w:tc>
                <w:tcPr>
                  <w:tcW w:type="dxa" w:w="1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1.1同步读取已存在的患者数据，也可新建和编辑现有患者信息</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18"/>
                  <w:vMerge/>
                  <w:tcBorders>
                    <w:top w:val="none" w:color="000000" w:sz="4"/>
                    <w:left w:val="single" w:color="000000" w:sz="4"/>
                    <w:bottom w:val="single" w:color="000000" w:sz="4"/>
                    <w:right w:val="single" w:color="000000" w:sz="4"/>
                  </w:tcBorders>
                </w:tcPr>
                <w:p/>
              </w:tc>
              <w:tc>
                <w:tcPr>
                  <w:tcW w:type="dxa" w:w="1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1.2可以按照患者的姓名、性别、年龄段、疾病、诊断关键词、建档时间进行快速检索</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18"/>
                  <w:vMerge/>
                  <w:tcBorders>
                    <w:top w:val="none" w:color="000000" w:sz="4"/>
                    <w:left w:val="single" w:color="000000" w:sz="4"/>
                    <w:bottom w:val="single" w:color="000000" w:sz="4"/>
                    <w:right w:val="single" w:color="000000" w:sz="4"/>
                  </w:tcBorders>
                </w:tcPr>
                <w:p/>
              </w:tc>
              <w:tc>
                <w:tcPr>
                  <w:tcW w:type="dxa" w:w="1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1.3可对当日和本周的患者新增数量进行统计分析</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2、运动心肺系统对接及原始数据获取</w:t>
                  </w:r>
                </w:p>
              </w:tc>
              <w:tc>
                <w:tcPr>
                  <w:tcW w:type="dxa" w:w="1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2.1能够通过网络连接方式无缝对接运动心肺测试系统，快速准确读取原始数据</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18"/>
                  <w:vMerge/>
                  <w:tcBorders>
                    <w:top w:val="none" w:color="000000" w:sz="4"/>
                    <w:left w:val="single" w:color="000000" w:sz="4"/>
                    <w:bottom w:val="single" w:color="000000" w:sz="4"/>
                    <w:right w:val="single" w:color="000000" w:sz="4"/>
                  </w:tcBorders>
                </w:tcPr>
                <w:p/>
              </w:tc>
              <w:tc>
                <w:tcPr>
                  <w:tcW w:type="dxa" w:w="1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2.2使用医院内部局域网时，配备独立服务器</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18"/>
                  <w:vMerge/>
                  <w:tcBorders>
                    <w:top w:val="none" w:color="000000" w:sz="4"/>
                    <w:left w:val="single" w:color="000000" w:sz="4"/>
                    <w:bottom w:val="single" w:color="000000" w:sz="4"/>
                    <w:right w:val="single" w:color="000000" w:sz="4"/>
                  </w:tcBorders>
                </w:tcPr>
                <w:p/>
              </w:tc>
              <w:tc>
                <w:tcPr>
                  <w:tcW w:type="dxa" w:w="1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2.3可直接从心肺软件数据库读取运动心肺测试数据、通气功能测试数据、最大通气功能测试数据，并可对同一患者的三项测试数据进行组合，可根据预设模板形成标准化整合报告</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3、报告的合并和编辑</w:t>
                  </w:r>
                </w:p>
              </w:tc>
              <w:tc>
                <w:tcPr>
                  <w:tcW w:type="dxa" w:w="1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3.1心电图模块：包含静态心电图、运动心电图以及心电图评估。静态心电图可以显示12导心电波形、结论及详细测量值；运动心电图可以显示CPET全过程的心电波形详细测量值及任意时间点的12导心电波形，也可以快速获取重要时间点的12导心电波形；心电图评估可评定运动负荷试验前、中、后的心电图异常情况，也可对异常心电图的恢复情况和运动负荷试验的整体情况进行评定，系统提供参考选项；静息心电波形、运动心电波形及评估结果等可上传至心肺报告模板中</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18"/>
                  <w:vMerge/>
                  <w:tcBorders>
                    <w:top w:val="none" w:color="000000" w:sz="4"/>
                    <w:left w:val="single" w:color="000000" w:sz="4"/>
                    <w:bottom w:val="single" w:color="000000" w:sz="4"/>
                    <w:right w:val="single" w:color="000000" w:sz="4"/>
                  </w:tcBorders>
                </w:tcPr>
                <w:p/>
              </w:tc>
              <w:tc>
                <w:tcPr>
                  <w:tcW w:type="dxa" w:w="1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3.2 可显示静息肺功能测试数据，包括IVC、IRV、ERV、VT、FVC、FEV1/FVC、FEV1、MEF75-85、MEF75、MEF50等</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18"/>
                  <w:vMerge/>
                  <w:tcBorders>
                    <w:top w:val="none" w:color="000000" w:sz="4"/>
                    <w:left w:val="single" w:color="000000" w:sz="4"/>
                    <w:bottom w:val="single" w:color="000000" w:sz="4"/>
                    <w:right w:val="single" w:color="000000" w:sz="4"/>
                  </w:tcBorders>
                </w:tcPr>
                <w:p/>
              </w:tc>
              <w:tc>
                <w:tcPr>
                  <w:tcW w:type="dxa" w:w="1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3.3 心肺功能智能辅助评估：可自动读取心肺运动试验的运动方式、运动方案、热身时间、测试前血压等基本信息；对心肺运动试验中的重要参数，如无氧阈、运动耐量、氧脉曲线等，提供辅助诊断功能，医生可根据实际情况选择评价结果。评估数据完成后，可根据评估结果智能化生成参考结论，也可对不同疾病的预后及危险分层进行智能辅助评估。</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4.报告模板</w:t>
                  </w:r>
                </w:p>
              </w:tc>
              <w:tc>
                <w:tcPr>
                  <w:tcW w:type="dxa" w:w="1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4.1内置多种心肺运动试验报告模板供临床医生选择，医生可以在该模板的基础上进行参数的增减，形成医院及科室自有模板上传。</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18"/>
                  <w:vMerge/>
                  <w:tcBorders>
                    <w:top w:val="none" w:color="000000" w:sz="4"/>
                    <w:left w:val="single" w:color="000000" w:sz="4"/>
                    <w:bottom w:val="single" w:color="000000" w:sz="4"/>
                    <w:right w:val="single" w:color="000000" w:sz="4"/>
                  </w:tcBorders>
                </w:tcPr>
                <w:p/>
              </w:tc>
              <w:tc>
                <w:tcPr>
                  <w:tcW w:type="dxa" w:w="1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4.2根据医生需求，选择在心肺报告中添加简易运动处方、Borg评分表、九宫图。</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5.医学量表</w:t>
                  </w:r>
                </w:p>
              </w:tc>
              <w:tc>
                <w:tcPr>
                  <w:tcW w:type="dxa" w:w="1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5.1多种与心脏康复相关的医学量表，至少包含心理学常用量表、戒烟常用量表等。</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18"/>
                  <w:vMerge/>
                  <w:tcBorders>
                    <w:top w:val="none" w:color="000000" w:sz="4"/>
                    <w:left w:val="single" w:color="000000" w:sz="4"/>
                    <w:bottom w:val="single" w:color="000000" w:sz="4"/>
                    <w:right w:val="single" w:color="000000" w:sz="4"/>
                  </w:tcBorders>
                </w:tcPr>
                <w:p/>
              </w:tc>
              <w:tc>
                <w:tcPr>
                  <w:tcW w:type="dxa" w:w="1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5.2根据医生需求进行量表的增补</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18"/>
                  <w:vMerge/>
                  <w:tcBorders>
                    <w:top w:val="none" w:color="000000" w:sz="4"/>
                    <w:left w:val="single" w:color="000000" w:sz="4"/>
                    <w:bottom w:val="single" w:color="000000" w:sz="4"/>
                    <w:right w:val="single" w:color="000000" w:sz="4"/>
                  </w:tcBorders>
                </w:tcPr>
                <w:p/>
              </w:tc>
              <w:tc>
                <w:tcPr>
                  <w:tcW w:type="dxa" w:w="1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5.3可在移动端进行量表的填写，并查看测评记录</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6.患者健康档案管理</w:t>
                  </w:r>
                </w:p>
              </w:tc>
              <w:tc>
                <w:tcPr>
                  <w:tcW w:type="dxa" w:w="1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可根据卫健委</w:t>
                  </w:r>
                  <w:r>
                    <w:rPr>
                      <w:rFonts w:ascii="仿宋_GB2312" w:hAnsi="仿宋_GB2312" w:cs="仿宋_GB2312" w:eastAsia="仿宋_GB2312"/>
                      <w:sz w:val="20"/>
                    </w:rPr>
                    <w:t>“WS 365-2011城乡居民健康档案基本数据集”标准创建患者的健康档案，同时还可以对已有的健康档案进行修改可详细记录慢病患者病史，作为临床诊断依据</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7、心肺数据管理软件</w:t>
                  </w:r>
                </w:p>
              </w:tc>
              <w:tc>
                <w:tcPr>
                  <w:tcW w:type="dxa" w:w="1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rPr>
                    <w:t>具有医疗器械注册证或软件著作权证书</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47"/>
              <w:gridCol w:w="264"/>
              <w:gridCol w:w="1898"/>
              <w:gridCol w:w="238"/>
            </w:tblGrid>
            <w:tr>
              <w:tc>
                <w:tcPr>
                  <w:tcW w:type="dxa" w:w="2547"/>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二、负荷运动训练系统</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16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内容</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是否须提供证明资料</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w:t>
                  </w:r>
                </w:p>
              </w:tc>
              <w:tc>
                <w:tcPr>
                  <w:tcW w:type="dxa" w:w="2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 PC中央工作站</w:t>
                  </w: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 配备PC端中央工作站，可同时下发多个训练任务至不同的运动设备，支持多个患者同时进行运动训练，同步实时显示每个患者的数据</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4"/>
                  <w:vMerge/>
                  <w:tcBorders>
                    <w:top w:val="none" w:color="000000" w:sz="4"/>
                    <w:left w:val="single" w:color="000000" w:sz="4"/>
                    <w:bottom w:val="single" w:color="000000" w:sz="4"/>
                    <w:right w:val="single" w:color="000000" w:sz="4"/>
                  </w:tcBorders>
                </w:tcP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 中央工作站和运动设备之间通过无线网络进行数据通讯</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64"/>
                  <w:vMerge/>
                  <w:tcBorders>
                    <w:top w:val="none" w:color="000000" w:sz="4"/>
                    <w:left w:val="single" w:color="000000" w:sz="4"/>
                    <w:bottom w:val="single" w:color="000000" w:sz="4"/>
                    <w:right w:val="single" w:color="000000" w:sz="4"/>
                  </w:tcBorders>
                </w:tcP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1.3 可以下发并执行多种不同的运动训练方案，根据不同的训练目的和患者情况，可协助医生编辑并实施心率恒定、心率递增、心率脉冲、功率恒定、功率递增、功率脉冲等多种个性化的训练方案</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64"/>
                  <w:vMerge/>
                  <w:tcBorders>
                    <w:top w:val="none" w:color="000000" w:sz="4"/>
                    <w:left w:val="single" w:color="000000" w:sz="4"/>
                    <w:bottom w:val="single" w:color="000000" w:sz="4"/>
                    <w:right w:val="single" w:color="000000" w:sz="4"/>
                  </w:tcBorders>
                </w:tcP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1.4 每种训练测试方案都能够以图形或趋势图的方式实时显示运动过程中心电波形、心率、血压、血氧的变化</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64"/>
                  <w:vMerge/>
                  <w:tcBorders>
                    <w:top w:val="none" w:color="000000" w:sz="4"/>
                    <w:left w:val="single" w:color="000000" w:sz="4"/>
                    <w:bottom w:val="single" w:color="000000" w:sz="4"/>
                    <w:right w:val="single" w:color="000000" w:sz="4"/>
                  </w:tcBorders>
                </w:tcP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1.5 可根据患者个体情况预设心率、血氧、收缩压及舒张压报警值，运动训练过程中出现异常值，智能报警提示。</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64"/>
                  <w:vMerge/>
                  <w:tcBorders>
                    <w:top w:val="none" w:color="000000" w:sz="4"/>
                    <w:left w:val="single" w:color="000000" w:sz="4"/>
                    <w:bottom w:val="single" w:color="000000" w:sz="4"/>
                    <w:right w:val="single" w:color="000000" w:sz="4"/>
                  </w:tcBorders>
                </w:tcP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1.6 运动结束后，可回放全部测量数据</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64"/>
                  <w:vMerge/>
                  <w:tcBorders>
                    <w:top w:val="none" w:color="000000" w:sz="4"/>
                    <w:left w:val="single" w:color="000000" w:sz="4"/>
                    <w:bottom w:val="single" w:color="000000" w:sz="4"/>
                    <w:right w:val="single" w:color="000000" w:sz="4"/>
                  </w:tcBorders>
                </w:tcP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1.7 具有全面的运动训练数据报告，报告显示热身阶段、运动阶段、恢复阶段和全部运动过程的心率、血压、血氧、持续时间信息，以及运动负荷、代谢当量METS、能量消耗、摄氧量等数据统计，提供运动全过程心率、血氧、运动负荷强度的变化趋势图和血压数据</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64"/>
                  <w:vMerge/>
                  <w:tcBorders>
                    <w:top w:val="none" w:color="000000" w:sz="4"/>
                    <w:left w:val="single" w:color="000000" w:sz="4"/>
                    <w:bottom w:val="single" w:color="000000" w:sz="4"/>
                    <w:right w:val="single" w:color="000000" w:sz="4"/>
                  </w:tcBorders>
                </w:tcP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1.8系统具有离线功能，PC中央工作站与运动设备不在同一网络环境时，可下发离线任务，训练结束后可回传报告</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64"/>
                  <w:vMerge/>
                  <w:tcBorders>
                    <w:top w:val="none" w:color="000000" w:sz="4"/>
                    <w:left w:val="single" w:color="000000" w:sz="4"/>
                    <w:bottom w:val="single" w:color="000000" w:sz="4"/>
                    <w:right w:val="single" w:color="000000" w:sz="4"/>
                  </w:tcBorders>
                </w:tcP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1.9 支持投屏功能，可同屏显示≥8个患者的训练信息，实时显示心率、血压、血氧生理参数和训练完成情况，监控过程中具备报警提示功能</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 六分钟步行试验</w:t>
                  </w: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rPr>
                    <w:t>2.1具有六分钟步行试验模块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11.</w:t>
                  </w:r>
                </w:p>
              </w:tc>
              <w:tc>
                <w:tcPr>
                  <w:tcW w:type="dxa" w:w="264"/>
                  <w:vMerge/>
                  <w:tcBorders>
                    <w:top w:val="none" w:color="000000" w:sz="4"/>
                    <w:left w:val="single" w:color="000000" w:sz="4"/>
                    <w:bottom w:val="single" w:color="000000" w:sz="4"/>
                    <w:right w:val="single" w:color="000000" w:sz="4"/>
                  </w:tcBorders>
                </w:tcP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2.2默认测试时间为6分钟，也可按照实际需求自定义测试时间，测试开始后自动倒计时，计时完成后自动结束。</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64"/>
                  <w:vMerge/>
                  <w:tcBorders>
                    <w:top w:val="none" w:color="000000" w:sz="4"/>
                    <w:left w:val="single" w:color="000000" w:sz="4"/>
                    <w:bottom w:val="single" w:color="000000" w:sz="4"/>
                    <w:right w:val="single" w:color="000000" w:sz="4"/>
                  </w:tcBorders>
                </w:tcP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2.3可根据被测者个体情况设置心率、血氧等参数的预设值，测试过程中达到预设值系统会智能提示，以保证被测者的安全，训练记录趋势图和报告中也会显示该时间点的报警提示图标。</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64"/>
                  <w:vMerge/>
                  <w:tcBorders>
                    <w:top w:val="none" w:color="000000" w:sz="4"/>
                    <w:left w:val="single" w:color="000000" w:sz="4"/>
                    <w:bottom w:val="single" w:color="000000" w:sz="4"/>
                    <w:right w:val="single" w:color="000000" w:sz="4"/>
                  </w:tcBorders>
                </w:tcP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2.4按照6分钟步行试验场地的实际长度设置单圈长度，不影响步行距离计算。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64"/>
                  <w:vMerge/>
                  <w:tcBorders>
                    <w:top w:val="none" w:color="000000" w:sz="4"/>
                    <w:left w:val="single" w:color="000000" w:sz="4"/>
                    <w:bottom w:val="single" w:color="000000" w:sz="4"/>
                    <w:right w:val="single" w:color="000000" w:sz="4"/>
                  </w:tcBorders>
                </w:tcP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2.5患者移动端可自动记录步行圈数， PC端可同步显示和调整。</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64"/>
                  <w:vMerge/>
                  <w:tcBorders>
                    <w:top w:val="none" w:color="000000" w:sz="4"/>
                    <w:left w:val="single" w:color="000000" w:sz="4"/>
                    <w:bottom w:val="single" w:color="000000" w:sz="4"/>
                    <w:right w:val="single" w:color="000000" w:sz="4"/>
                  </w:tcBorders>
                </w:tcP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2.6患者移动端可连接心电图、血压、血氧设备，可自动或手动控制血压的测量。</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 立式运动训练功率车</w:t>
                  </w: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rPr>
                    <w:t>3.1 功率控制范围：0-999W</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17.</w:t>
                  </w:r>
                </w:p>
              </w:tc>
              <w:tc>
                <w:tcPr>
                  <w:tcW w:type="dxa" w:w="264"/>
                  <w:vMerge/>
                  <w:tcBorders>
                    <w:top w:val="none" w:color="000000" w:sz="4"/>
                    <w:left w:val="single" w:color="000000" w:sz="4"/>
                    <w:bottom w:val="single" w:color="000000" w:sz="4"/>
                    <w:right w:val="single" w:color="000000" w:sz="4"/>
                  </w:tcBorders>
                </w:tcP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3.2 功率控制精度：≤1W/分钟</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64"/>
                  <w:vMerge/>
                  <w:tcBorders>
                    <w:top w:val="none" w:color="000000" w:sz="4"/>
                    <w:left w:val="single" w:color="000000" w:sz="4"/>
                    <w:bottom w:val="single" w:color="000000" w:sz="4"/>
                    <w:right w:val="single" w:color="000000" w:sz="4"/>
                  </w:tcBorders>
                </w:tcP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3.3 有效功率转速范围：30-130转/分钟</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64"/>
                  <w:vMerge/>
                  <w:tcBorders>
                    <w:top w:val="none" w:color="000000" w:sz="4"/>
                    <w:left w:val="single" w:color="000000" w:sz="4"/>
                    <w:bottom w:val="single" w:color="000000" w:sz="4"/>
                    <w:right w:val="single" w:color="000000" w:sz="4"/>
                  </w:tcBorders>
                </w:tcP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3.4 踏车控制采用独立系统，高清显示屏，所有运动过程中的参数都能直接在显示屏上实时显示，如运动负荷、转速、血压、血氧、心率、心电波形等</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 血压计</w:t>
                  </w: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4.1具有双管袖带测量</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64"/>
                  <w:vMerge/>
                  <w:tcBorders>
                    <w:top w:val="none" w:color="000000" w:sz="4"/>
                    <w:left w:val="single" w:color="000000" w:sz="4"/>
                    <w:bottom w:val="single" w:color="000000" w:sz="4"/>
                    <w:right w:val="single" w:color="000000" w:sz="4"/>
                  </w:tcBorders>
                </w:tcP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4.2示波测量法</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264"/>
                  <w:vMerge/>
                  <w:tcBorders>
                    <w:top w:val="none" w:color="000000" w:sz="4"/>
                    <w:left w:val="single" w:color="000000" w:sz="4"/>
                    <w:bottom w:val="single" w:color="000000" w:sz="4"/>
                    <w:right w:val="single" w:color="000000" w:sz="4"/>
                  </w:tcBorders>
                </w:tcP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4.3测量范围：压力:0mmHg-299mmHg(0kPa-39.9kPa)</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264"/>
                  <w:vMerge/>
                  <w:tcBorders>
                    <w:top w:val="none" w:color="000000" w:sz="4"/>
                    <w:left w:val="single" w:color="000000" w:sz="4"/>
                    <w:bottom w:val="single" w:color="000000" w:sz="4"/>
                    <w:right w:val="single" w:color="000000" w:sz="4"/>
                  </w:tcBorders>
                </w:tcP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4.4精度：压力:±3mmHg；心率:误差±5%</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264"/>
                  <w:vMerge/>
                  <w:tcBorders>
                    <w:top w:val="none" w:color="000000" w:sz="4"/>
                    <w:left w:val="single" w:color="000000" w:sz="4"/>
                    <w:bottom w:val="single" w:color="000000" w:sz="4"/>
                    <w:right w:val="single" w:color="000000" w:sz="4"/>
                  </w:tcBorders>
                </w:tcP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4.5可测量上臂周长：22cm-32cm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5.脉搏血氧仪</w:t>
                  </w: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5.1血氧饱和度：测量范围：70%-100%，分辨率：≤1％，测量精度：±2%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264"/>
                  <w:vMerge/>
                  <w:tcBorders>
                    <w:top w:val="none" w:color="000000" w:sz="4"/>
                    <w:left w:val="single" w:color="000000" w:sz="4"/>
                    <w:bottom w:val="single" w:color="000000" w:sz="4"/>
                    <w:right w:val="single" w:color="000000" w:sz="4"/>
                  </w:tcBorders>
                </w:tcP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5.2腕式，智能蓝牙数据传输</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27.</w:t>
                  </w:r>
                </w:p>
              </w:tc>
              <w:tc>
                <w:tcPr>
                  <w:tcW w:type="dxa" w:w="2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心率计</w:t>
                  </w: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0"/>
                    </w:rPr>
                    <w:t>6.1 具有注册证</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28.</w:t>
                  </w:r>
                </w:p>
              </w:tc>
              <w:tc>
                <w:tcPr>
                  <w:tcW w:type="dxa" w:w="264"/>
                  <w:vMerge/>
                  <w:tcBorders>
                    <w:top w:val="none" w:color="000000" w:sz="4"/>
                    <w:left w:val="single" w:color="000000" w:sz="4"/>
                    <w:bottom w:val="single" w:color="000000" w:sz="4"/>
                    <w:right w:val="single" w:color="000000" w:sz="4"/>
                  </w:tcBorders>
                </w:tcP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6.2 心率胸带可调节范围：580-950毫米</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64"/>
                  <w:vMerge/>
                  <w:tcBorders>
                    <w:top w:val="none" w:color="000000" w:sz="4"/>
                    <w:left w:val="single" w:color="000000" w:sz="4"/>
                    <w:bottom w:val="single" w:color="000000" w:sz="4"/>
                    <w:right w:val="single" w:color="000000" w:sz="4"/>
                  </w:tcBorders>
                </w:tcPr>
                <w:p/>
              </w:tc>
              <w:tc>
                <w:tcPr>
                  <w:tcW w:type="dxa" w:w="1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6.3 支持蓝牙4.0/5.0连接</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56"/>
              <w:gridCol w:w="260"/>
              <w:gridCol w:w="1868"/>
              <w:gridCol w:w="264"/>
            </w:tblGrid>
            <w:tr>
              <w:tc>
                <w:tcPr>
                  <w:tcW w:type="dxa" w:w="254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三、</w:t>
                  </w:r>
                  <w:r>
                    <w:rPr>
                      <w:rFonts w:ascii="仿宋_GB2312" w:hAnsi="仿宋_GB2312" w:cs="仿宋_GB2312" w:eastAsia="仿宋_GB2312"/>
                      <w:sz w:val="21"/>
                      <w:b/>
                    </w:rPr>
                    <w:t>抗阻训练系统</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12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内容</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是否须提供证明资料</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0"/>
                    </w:rPr>
                    <w:t>1.</w:t>
                  </w:r>
                </w:p>
              </w:tc>
              <w:tc>
                <w:tcPr>
                  <w:tcW w:type="dxa" w:w="2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1.下肢训练器</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 该器材用于下肢的内收与外展运动,同时强化主动肌与拮抗肌肌肉链。在保证患者安全的前提下，进行高效的训练；</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0"/>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1.3双向液压阻尼，≥10档阻力调节</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60"/>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1.4承重：≥150KG</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2.肩部训练器</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2.1 该器材在垂直面上训练上肢的推拉运动, 同时强化主动肌与拮抗肌肌肉链。在保证患者安全的前提下，进行高效的训练；</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60"/>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2.3 双向液压阻尼，≥10档阻力调节</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60"/>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2.4 承重：≥150KG</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3.上肢训练器</w:t>
                  </w: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3.1 该器材在垂直面上进行上肢的推拉运动,同时强化主动肌与拮抗肌肌肉链。</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60"/>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3.3双向液压阻尼，≥10档阻力调节</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60"/>
                  <w:vMerge/>
                  <w:tcBorders>
                    <w:top w:val="none" w:color="000000" w:sz="4"/>
                    <w:left w:val="single" w:color="000000" w:sz="4"/>
                    <w:bottom w:val="single" w:color="000000" w:sz="4"/>
                    <w:right w:val="single" w:color="000000" w:sz="4"/>
                  </w:tcBorders>
                </w:tcPr>
                <w:p/>
              </w:tc>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3.4 承重：≥150KG</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合同签订且接采购人通知后 30 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陕西中医药大学第二附属医院指定地点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货到安装调试验收合格办理入库后，乙方于 3 个工作日内持全额正式税务发票向甲方提出支付申请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设备办理入库并正常运行3个月后，乙方提供的商品无故障等各种情况发生</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设备正常运转1年后，乙方就合同约定义务全部履行完毕后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1、验收要求：乙方按照甲方要求将全部货物送到甲方指定地点进行安装、调试，并对甲方工作人员进行培训，完成后向甲方提出验收申请，甲方须在乙方提出书面验收申请之日起 2 个工作日内，组织验收工作。甲乙双方验收人员共同对货物的外观、数量、商标、型号、规格及性能等进行验收，验收合格后甲乙双方共同签署验收单。验收不合格的，乙方应于7日内进行重新配送，交货日期不予延长，超过交货期限的，乙方按照本合同第十三条第1款向甲方支付延期交货违约金。 2、验收标准：应按照国家相关法律法规要求及相关质量体系认证标准为准。 3、验收依据：单证齐全，应有产品合格证、质量证明、使用说明、保修保质证明、发票和其他应当具有的单证，并符合国家法律、法规对该产品规定的国家标准的要求。 4、货物验收单仅证明乙方所提供的货物截止出具验收单之日时可以按合同要求予以接受，但不能视为乙方对货物存在的潜在缺陷责任的解除。此验收不作为对货物内质量认定的依据。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1、乙方必须具有完善的售后服务体系，高水平的技术维修人员和良好的设备备件供应能力。2、乙方同意该产品自安装、调试、验收合格并正常使用之日起免费保修，保质期（保修期）为 3 年，在保修、保质期内出现的任何质量问题，乙方保证在接到甲方维修通知之日起24小时内派专业维修人员赶赴现场（即甲方指定地点）进行维修，并于3日内使设备恢复正常使用。3、保修、保质期内，要确保该产品系统正常运行，开机率不得低于95%，如经过两次维修后仍达不到此标准，乙方应于7日内负责调换部分或整个产品设备，保修、保质期作相应延长，并承担自产品出现故障之日起至产品再次正常运行使用之日期间给甲方造成的所有经济损失。若更换后产品还达不到此标准，视为乙方根本违约，甲方有权单方解除合同，解除合同的通知达到乙方之日视为合同已解除，乙方应无条件退货，并承担给甲方造成的所有经济损失。4、保修、保质期内，维修费用、乙方维修人员的差旅费及其他相关费用均由乙方承担。5、保修、保质期满后，乙方负责终身优质服务，检修更换的产品配置零件按标准报价 8 折的优惠价向甲方提供，免人工费、差旅费及工时费，只收取更换的零配件成本费。6、乙方负责产品机型系统错误改进，在保修、保质期内对该机型的软件免费更换或升级。7、如以后该产品升级换代，乙方愿意以优惠价格向甲方提供。8、如因产品本身的隐蔽瑕疵而出现的质量问题，乙方应全面负责维修调试或更新更换并承担全部费用。9、乙方必须严格依据合同约定及投标文件中的售后服务承诺履行售后服务义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如不能及时交货或未按照本合同约定及时安装、调试完毕或违反第九条约定，迟延30日视为乙方根本违约，甲方有权单方解除合同，同时乙方应向甲方支付本合同总价款10 %的违约金。如交付的产品数量、品种、规格、质量不符合国家标准和合同约定的由乙方负责包修、包换、退货，乙方应于7日内完成产品的维修或退/换货，并承担由此给甲方造成的所有经济损失；逾期交货的，应向甲方支付迟延履行的违约金，每日违约金按逾期交货货款金额万分之一计算。2、除前款约定外，乙方未按合同要求提供产品或提供虚假材料，且质量不能满足技术要求的，视为乙方根本违约，甲方有权单方终止合同，同时要求乙方承担承担本合同总价款10％的违约金，违约金不足以弥补损失的，由乙方另行支付。3、自本合同签订之日起，若甲方无故中途退货，应向乙方支付退货部分货款的10 %的违约金。4、甲方应当按时向乙方支付货款，逾期付款的，应向乙方支付迟延履行的违约金，每日违约金按逾期付款金额的万分之一计算。5、乙方未按照本合同第十条第2款完成维修义务的，每迟延一日应向甲方支付合同总价款万分之一的违约金，迟延超过7日的，甲方有权委托第三方进行维修，由此产生的费用由乙方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本项目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3.5.2提供核心产品相同品牌且通过资格审查、符合性审查的不同投标人参加同一包（标段）投标的，按一家投标人计算，评审后得分最高的同品牌投标人获得中标人推荐资格；评审得分相同的，由采购人自行确定一个投标人获得中标人推荐资格，其他同品牌投标人不作为中标候选人。 3.5.3设备使用年限：设备≥8年，软件≥5年，软件在使用年限内提供免费升级服务。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 1)企业投标的：营业执照 ，2)事业单位投标的：事业单位法人证书，3)其他组织投标的：登记证书，4)个体工商户投标的：个体工商户营业执照，5）自然人投标的：身份证；（2）税收缴纳证明：提供供应商自投标前1年以来已缴纳任意时段完税凭证或税务机关开具的完税证明（任意税种）；依法免税的应提供相关文件证明；（3）社会保障资金缴纳证明：提供供应商自投标前1年以来已缴存的任意时段的社会保障资金缴存单据或社保机构开具的社会保险参保缴费情况证明或包含社会保障资金的完税证明；依法不需要缴纳社会保障资金的供应商应提供相关文件证明；（4）提供供应商具备履行合同所必需的设备和专业技术能力的证明材料；（5）投标人参加本次采购活动3年内，在经营活动中没有重大违法记录以及未被列入失信被执行人、重大税收违法案件当事人名单、政府采购严重违法失信行为记录名单的书面声明；（6）法定代表人（单位负责人）参加投标的，提供本人身份证复印件；法定代表人（单位负责人）授权他人参加投标的，提供法定代表人委托授权书及被授权代表的身份证。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或2025年度经审计的财务报告（包括“四表一注”即《资产负债表》《利润表》《现金流量表》《所有者权益变动表》及其附注）或者提供响应文件递交截止时间6个月内其基本账户开户银行出具的资信证明；供应商成立不到1年的，可提供企业任意时段财务报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经销商的应出具《医疗器械经营许可证》（或《医疗器械经营备案凭证》）和制造厂商的《医疗器械生产许可证》（或《医疗器械生产备案凭证》）；投标人为制造厂商的应出具《医疗器械生产许可证》（《或医疗器械生产备案凭证》）。所投产品如属于医疗器械管理的应出具《医疗器械注册证》或《医疗器械备案凭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3.异常低价投标审查程序 在评审中出现下列情形之一的，评标委员会应当启动异常低价投标审查程序： （1）投标报价低于全部通过符合性审查供应商投标报价平均值50%（最高不得超过65%）的，即投标报价&lt;全部通过符合性审查供应商投标报价平均值×50%； （2）投标报价低于通过符合性审查的次低报价供应商投标报价50%（最高不得超过65%）的，即投标报价&lt;通过符合性审查的次低报价供应商投标报价×50%； （3）投标报价低于采购项目最高限价45%（最高不得超过65%）的，即投标报价&lt;采购项目最高限价×45%； （4）评标委员会基于专业判断，认为供应商报价过低，有可能影响产品质量或者不能诚信履约的其他情形。 　　相关法律法规对投标人报价有规定的，从其规定。 4.评标委员会启动异常低价投标审查后，属于前述异常低价投标审查程序的启动第1项至第4项情形的，应当要求相关投标人在评审现场对投标价格作出解释，提供项目具体成本测算等与报价合理性相关的书面说明及必要的证明材料，包括但不限于原材料成本、人工成本、制造费用等，评标委员会应当给予相关投标人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 5.异常低价投标审查的启动原因、审查意见和审查结果应当在评审报告中记录，并随投标人提供的相关书面说明及证明材料，以及评标委员会有关互联网浏览、查询历史一并归档。 6.在评标过程中，发现评标委员会未按规定对异常低价开展审查的，采购人、采购代理机构应当予以纠正，拒不改正的，应当及时报告同级财政部门。 7.评标委员会未按规定对异常低价开展审查的，财政部门依法予以纠正并追究评审专家的法律责任。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投标文件签署、盖章的</w:t>
            </w:r>
          </w:p>
        </w:tc>
        <w:tc>
          <w:tcPr>
            <w:tcW w:type="dxa" w:w="3322"/>
          </w:tcPr>
          <w:p>
            <w:pPr>
              <w:pStyle w:val="null3"/>
            </w:pPr>
            <w:r>
              <w:rPr>
                <w:rFonts w:ascii="仿宋_GB2312" w:hAnsi="仿宋_GB2312" w:cs="仿宋_GB2312" w:eastAsia="仿宋_GB2312"/>
              </w:rPr>
              <w:t>按招标文件要求签署、盖章的</w:t>
            </w:r>
          </w:p>
        </w:tc>
        <w:tc>
          <w:tcPr>
            <w:tcW w:type="dxa" w:w="1661"/>
          </w:tcPr>
          <w:p>
            <w:pPr>
              <w:pStyle w:val="null3"/>
            </w:pPr>
            <w:r>
              <w:rPr>
                <w:rFonts w:ascii="仿宋_GB2312" w:hAnsi="仿宋_GB2312" w:cs="仿宋_GB2312" w:eastAsia="仿宋_GB2312"/>
              </w:rPr>
              <w:t>开标一览表 合同条款偏离表 投标函 中小企业声明函 残疾人福利性单位声明函 技术文件 标的清单 投标文件封面 产品技术参数、商务响应表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交货时间满足文件最低要求(合格)，交货时间不满足文件最低要求(不合格)</w:t>
            </w:r>
          </w:p>
        </w:tc>
        <w:tc>
          <w:tcPr>
            <w:tcW w:type="dxa" w:w="1661"/>
          </w:tcPr>
          <w:p>
            <w:pPr>
              <w:pStyle w:val="null3"/>
            </w:pPr>
            <w:r>
              <w:rPr>
                <w:rFonts w:ascii="仿宋_GB2312" w:hAnsi="仿宋_GB2312" w:cs="仿宋_GB2312" w:eastAsia="仿宋_GB2312"/>
              </w:rPr>
              <w:t>产品技术参数、商务响应表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保修期</w:t>
            </w:r>
          </w:p>
        </w:tc>
        <w:tc>
          <w:tcPr>
            <w:tcW w:type="dxa" w:w="3322"/>
          </w:tcPr>
          <w:p>
            <w:pPr>
              <w:pStyle w:val="null3"/>
            </w:pPr>
            <w:r>
              <w:rPr>
                <w:rFonts w:ascii="仿宋_GB2312" w:hAnsi="仿宋_GB2312" w:cs="仿宋_GB2312" w:eastAsia="仿宋_GB2312"/>
              </w:rPr>
              <w:t>保修期限满足文件最低要求(合格)，保修期限不满足文件最低要求(不合格)</w:t>
            </w:r>
          </w:p>
        </w:tc>
        <w:tc>
          <w:tcPr>
            <w:tcW w:type="dxa" w:w="1661"/>
          </w:tcPr>
          <w:p>
            <w:pPr>
              <w:pStyle w:val="null3"/>
            </w:pPr>
            <w:r>
              <w:rPr>
                <w:rFonts w:ascii="仿宋_GB2312" w:hAnsi="仿宋_GB2312" w:cs="仿宋_GB2312" w:eastAsia="仿宋_GB2312"/>
              </w:rPr>
              <w:t>产品技术参数、商务响应表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投标文件投标有效期符合文件要求的(合格)，投标文件无投标有效期或有效期达不到文件要求的(不合格)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权利义务</w:t>
            </w:r>
          </w:p>
        </w:tc>
        <w:tc>
          <w:tcPr>
            <w:tcW w:type="dxa" w:w="3322"/>
          </w:tcPr>
          <w:p>
            <w:pPr>
              <w:pStyle w:val="null3"/>
            </w:pPr>
            <w:r>
              <w:rPr>
                <w:rFonts w:ascii="仿宋_GB2312" w:hAnsi="仿宋_GB2312" w:cs="仿宋_GB2312" w:eastAsia="仿宋_GB2312"/>
              </w:rPr>
              <w:t>符合“拟签订合同交本”条款中实质性要求和条件</w:t>
            </w:r>
          </w:p>
        </w:tc>
        <w:tc>
          <w:tcPr>
            <w:tcW w:type="dxa" w:w="1661"/>
          </w:tcPr>
          <w:p>
            <w:pPr>
              <w:pStyle w:val="null3"/>
            </w:pPr>
            <w:r>
              <w:rPr>
                <w:rFonts w:ascii="仿宋_GB2312" w:hAnsi="仿宋_GB2312" w:cs="仿宋_GB2312" w:eastAsia="仿宋_GB2312"/>
              </w:rPr>
              <w:t>合同条款偏离表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设备使用年限</w:t>
            </w:r>
          </w:p>
        </w:tc>
        <w:tc>
          <w:tcPr>
            <w:tcW w:type="dxa" w:w="3322"/>
          </w:tcPr>
          <w:p>
            <w:pPr>
              <w:pStyle w:val="null3"/>
            </w:pPr>
            <w:r>
              <w:rPr>
                <w:rFonts w:ascii="仿宋_GB2312" w:hAnsi="仿宋_GB2312" w:cs="仿宋_GB2312" w:eastAsia="仿宋_GB2312"/>
              </w:rPr>
              <w:t>设备≥8年，软件≥5年</w:t>
            </w:r>
          </w:p>
        </w:tc>
        <w:tc>
          <w:tcPr>
            <w:tcW w:type="dxa" w:w="1661"/>
          </w:tcPr>
          <w:p>
            <w:pPr>
              <w:pStyle w:val="null3"/>
            </w:pPr>
            <w:r>
              <w:rPr>
                <w:rFonts w:ascii="仿宋_GB2312" w:hAnsi="仿宋_GB2312" w:cs="仿宋_GB2312" w:eastAsia="仿宋_GB2312"/>
              </w:rPr>
              <w:t>产品技术参数、商务响应表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“★”符号标明的条款为实质性要求和条件，投标文件对其中任何一条的负偏离，为实质性偏离，其投标无效</w:t>
            </w:r>
          </w:p>
        </w:tc>
        <w:tc>
          <w:tcPr>
            <w:tcW w:type="dxa" w:w="3322"/>
          </w:tcPr>
          <w:p>
            <w:pPr>
              <w:pStyle w:val="null3"/>
            </w:pPr>
            <w:r>
              <w:rPr>
                <w:rFonts w:ascii="仿宋_GB2312" w:hAnsi="仿宋_GB2312" w:cs="仿宋_GB2312" w:eastAsia="仿宋_GB2312"/>
              </w:rPr>
              <w:t>“★”符号标明的条款为实质性要求和条件，投标文件对其中任何一条的负偏离，为实质性偏离，其投标无效</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技术指标的响应程度</w:t>
            </w:r>
          </w:p>
        </w:tc>
        <w:tc>
          <w:tcPr>
            <w:tcW w:type="dxa" w:w="2492"/>
          </w:tcPr>
          <w:p>
            <w:pPr>
              <w:pStyle w:val="null3"/>
            </w:pPr>
            <w:r>
              <w:rPr>
                <w:rFonts w:ascii="仿宋_GB2312" w:hAnsi="仿宋_GB2312" w:cs="仿宋_GB2312" w:eastAsia="仿宋_GB2312"/>
              </w:rPr>
              <w:t>评标委员会根据投标文件中对技术指标的应答，并结合投标人提供的证明资料（官方网站截图或产品白皮书或说明书或第三方机构检验报告或其他相关证明材料）对技术响应进行综合评价；产品技术参数清楚、明确，满足或优于招标文件要求得27分。 产品参数项共87项。其中，“★”5项，“▲”4项，其他项78项。 “★”项每有一项不满足其投标将被拒绝，“▲”每有一项不满足扣0.9分，其他项每有一项不满足扣0.3分，扣完为止。 注：招标文件第三章标明需提供证明资料的参数项须提供证明资料，未提供证明资料的为不响应招标文件要求，“★”项每有一项不满足其投标将被拒绝，“▲”与其他项每有一项不满足相应项将不计得分。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产品技术参数、商务响应表</w:t>
            </w:r>
          </w:p>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一、评审内容：实施方案包含①组织生产、供货运输方案；②安装调试方案；③接受采购人对项目实施方案、生产进度、货物质量、货款支付与结算审核等方面监督和管理等。 二、评审标准： （1）完整性：内容全面详尽，对各方面有详细的描述和说明。 （2）合理性：项目切合实际，进度控制合理、思路清晰，科学合理。 （3）针对性：方案编制紧扣项目特点和采购需求，针对性强，整体性高。 三、赋分标准（满分9分） ①组织生产、供货运输方案：此评审满分3分，每完全满足一项评审标准得1分，针对每条评审标准，如存在不合理的方面扣0.3分，针对每条评审标准，内容与本项目无关或未提供得0分； ②安装调试方案：此评审满分3分，每完全满足一项评审标准得1分，针对每条评审标准，如存在不合理的方面扣0.3分，针对每条评审标准，内容与本项目无关或未提供得0分； ③接受采购人对项目实施方案、生产进度、货物质量、货款支付与结算审核等方面监督和管理：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一、评审内容：投标产品符合国家相关质量标准，质量管理体系健全，质量保证措施有效可靠，符合招标人要求，内容包括①质量保证措施；②产品来源证明资料，投标人应提供所投产品来源渠道的合法证明资料，包括但不限于销售协议/代理协议/原厂授权或承诺书等。 二、评审标准： （1）完整性：内容全面详尽，对各方面有详细的描述和说明。 （2）合理性：项目切合实际，进度控制合理、思路清晰，科学合理。 （3）针对性：方案编制紧扣项目特点和采购需求，针对性强，整体性高。 三、赋分标准（满分６分） ①质量保证措施：此评审满分3分，每完全满足一项评审标准得1分，针对每条评审标准，如存在不合理的方面扣0.3分，针对每条评审标准，内容与本项目无关或未提供得0分； ②产品来源证明资料：证明资料完整计3分，不完整或未提供本项不计得分；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一、评审内容：培训方案包括①培训计划及内容②培训师资、培训时间地点安排、保证措施等，保证采购人能够安全、正常、熟练的使用投标产品。 二、评审标准： （1）完整性：内容全面详尽，对各方面有详细的描述和说明。 （2）合理性：项目切合实际，进度控制合理、思路清晰，科学合理。 （3）针对性：方案编制紧扣项目特点和采购需求，针对性强，整体性高。 三、赋分标准（满分6分） ①培训计划及内容：此评审满分3分，每完全满足一项评审标准得1分，针对每条评审标准，如存在不合理的方面扣0.3分，针对每条评审标准，内容与本项目无关或未提供得0分； ②培训师资、培训时间地点安排、保证措施等：此评审满分3分，每完全满足一项评审标准得1分，针对每条评审标准，如存在不合理的方面扣0.3分，针对每条评审标准，内容与本项目无关或未提供得0分；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根据投标人针对本项目配备专业的服务团队进行评价，包括①送货、安装调试人员②售后服务人员、技术支持人员。 二、评审标准： （1）完整性：内容全面详尽，对各方面有详细的描述和说明。 （2）合理性：项目切合实际，进度控制合理、思路清晰，科学合理。 （3）针对性：人员配备紧扣项目特点和采购需求，针对性强，整体性高。 三、赋分标准（满分6分） ①送货、安装调试人员：此评审满分3分，每完全满足一项评审标准得1分，针对每条评审标准，如存在不合理的方面扣0.3分，针对每条评审标准，内容与本项目无关或未提供得0分； ②售后服务人员、技术支持人员：此评审满分3分，每完全满足一项评审标准得1分，针对每条评审标准，如存在不合理的方面扣0.3分，针对每条评审标准，内容与本项目无关或未提供得0分；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售后服务方案包括①售后服务机构②质保期内的维护保养、相关技术支持方案③服务保障力度④产品出现故障响应时间承诺、解决故障时间承诺、补救措施等。 二、评审标准： （1）完整性：内容全面详尽，对各方面有详细的描述和说明。 （2）合理性：项目切合实际，进度控制合理、思路清晰，科学合理。 （3）针对性：方案编制紧扣项目特点和采购需求，针对性强，整体性高。 三、赋分标准（满分12分） ①售后服务机构，此评审满分3分，每完全满足一项评审标准得1分，针对每条评审标准，如存在不合理的方面扣0.3分，针对每条评审标准，内容与本项目无关或未提供得0分； ②质保期内的维护保养、相关技术支持方案，此评审满分3分，每完全满足一项评审标准得1分，针对每条评审标准，如存在不合理的方面扣0.3分，针对每条评审标准，内容与本项目无关或未提供得0分； ③服务保障力度，此评审满分3分，每完全满足一项评审标准得1分，针对每条评审标准，如存在不合理的方面扣0.3分，针对每条评审标准，内容与本项目无关或未提供得0分； ④产品出现故障响应时间承诺、解决故障时间承诺、补救措施等，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每提供一份（2023年1月1日至今）核心产品清晰完整的业绩合同复印件得1分，最高得4分。 注：时间以合同签订时间为准，完整是指合同文本须完整，金额可不体现，未按照要求提供不得分。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根据《关于进一步加大政府采购支持中小企业力度的通知》财库〔2022〕19号的相关规定，对小型和微型企业的价格给予10%的扣除，用扣除后的价格参与评审。（2）根据《财政部民政部中国残疾人联合会关于促进残疾人就业政府采购政策的通知》（财库〔2017〕141号）的规定，对符合条件的残疾人福利性单位设备的价格给予10%的扣除，用扣除后的价格参与评审。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详见附件：产品技术参数、商务响应表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详见附件：合同条款偏离表</w:t>
      </w:r>
    </w:p>
    <w:p>
      <w:pPr>
        <w:pStyle w:val="null3"/>
        <w:ind w:firstLine="960"/>
      </w:pPr>
      <w:r>
        <w:rPr>
          <w:rFonts w:ascii="仿宋_GB2312" w:hAnsi="仿宋_GB2312" w:cs="仿宋_GB2312" w:eastAsia="仿宋_GB2312"/>
        </w:rPr>
        <w:t>详见附件：技术文件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