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版本号：SZT2025-SN-SC-ZC-FW-129520260313001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博物馆项目咨询评估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SZT2025-SN-SC-ZC-FW-1295</w:t>
      </w:r>
      <w:r>
        <w:br/>
      </w:r>
      <w:r>
        <w:br/>
      </w:r>
      <w:r>
        <w:br/>
      </w:r>
    </w:p>
    <w:p>
      <w:pPr>
        <w:pStyle w:val="null3"/>
        <w:jc w:val="center"/>
        <w:outlineLvl w:val="2"/>
      </w:pPr>
      <w:r>
        <w:rPr>
          <w:rFonts w:ascii="仿宋_GB2312" w:hAnsi="仿宋_GB2312" w:cs="仿宋_GB2312" w:eastAsia="仿宋_GB2312"/>
          <w:sz w:val="28"/>
          <w:b/>
        </w:rPr>
        <w:t>陕西省文物局机关</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陕西省文物局机关</w:t>
      </w:r>
      <w:r>
        <w:rPr>
          <w:rFonts w:ascii="仿宋_GB2312" w:hAnsi="仿宋_GB2312" w:cs="仿宋_GB2312" w:eastAsia="仿宋_GB2312"/>
        </w:rPr>
        <w:t>委托，拟对</w:t>
      </w:r>
      <w:r>
        <w:rPr>
          <w:rFonts w:ascii="仿宋_GB2312" w:hAnsi="仿宋_GB2312" w:cs="仿宋_GB2312" w:eastAsia="仿宋_GB2312"/>
        </w:rPr>
        <w:t>博物馆项目咨询评估</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SZT2025-SN-SC-ZC-FW-1295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博物馆项目咨询评估</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贯彻落实十八届三中全会关于“进一步简政放权，深化行政审批制度改革”精神，推动文物保护项目管理制度的改革创新，实现文物保护项目行政审批和技术评估的分离，2015年至今，文物保护项目技术评估工作由专业评估咨询机构承担。对陕西省内各级文物行政部门和有关文博单位申报的博物馆陈列展览项目以及可移动文物修复数字化预防性保护项目评审及验收进行评估、论证。</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或法定代表人授权书及授权代表身份证：供应商应授权合法的人员参加磋商，其中法定代表人直接参加的，须提供法定代表人身份证，并与营业执照上信息一致。法定代表人授权代表参加的，须提供法定代表人授权书及授权代表身份证</w:t>
      </w:r>
    </w:p>
    <w:p>
      <w:pPr>
        <w:pStyle w:val="null3"/>
      </w:pPr>
      <w:r>
        <w:rPr>
          <w:rFonts w:ascii="仿宋_GB2312" w:hAnsi="仿宋_GB2312" w:cs="仿宋_GB2312" w:eastAsia="仿宋_GB2312"/>
        </w:rPr>
        <w:t>2、本项目不接受联合体参与：本项目不接受联合体参与，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陕西省文物局机关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西安市雁塔区雁塔西路193号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陕西省文物局机关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029-85360115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毛冠奇、李文俊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029-87304326-861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开户名称：陕西中技招标有限公司（向我公司转账时，请备注清楚项目编号后四位数字）</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 1681 2810 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代理服务费收费标准：参照国家计委颁布的《招标代理服务收费管理暂行办法》（计价格[2002]1980号）和（发改办价格[2011]534号）服务类收费标准，按照定额柒仟伍佰元整收取。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陕西省文物局机关</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陕西省文物局机关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陕西省文物局机关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、交付的服务必须等同或优于本项目采购文件“服务内容及要求”所述的标准。若乙方在其响应文件中承诺的技术标准优于本项目采购文件“服务内容及要求”所述标准的，按响应的承诺执行。 2 、中标（成交）供应商完成并交付的工作成果需经采购人验收合格，则视为接受。如果在验收时采购人表明不接受中标（成交）供应商提交的工作成果并明示不接受的原因，中标供应商应当采取合理之措施进行修改，以达到合同规定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地址：西安市高新四路1号高科广场A1001室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贯彻落实十八届三中全会关于“进一步简政放权，深化行政审批制度改革”精神，推动文物保护项目管理制度的改革创新，实现文物保护项目行政审批和技术评估的分离，2015年至今，文物保护项目技术评估工作由专业评估咨询机构承担。对陕西省内各级文物行政部门和有关文博单位申报的博物馆陈列展览项目以及可移动文物修复数字化预防性保护项目评审及验收进行评估、论证。</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博物馆项目咨询评估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标的名称：博物馆项目咨询评估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w:t>
            </w:r>
            <w:r>
              <w:rPr>
                <w:rFonts w:ascii="仿宋_GB2312" w:hAnsi="仿宋_GB2312" w:cs="仿宋_GB2312" w:eastAsia="仿宋_GB2312"/>
                <w:b/>
              </w:rPr>
              <w:t>服务技术要求</w:t>
            </w:r>
            <w:r>
              <w:rPr>
                <w:rFonts w:ascii="仿宋_GB2312" w:hAnsi="仿宋_GB2312" w:cs="仿宋_GB2312" w:eastAsia="仿宋_GB2312"/>
              </w:rPr>
              <w:t xml:space="preserve">  </w:t>
            </w:r>
          </w:p>
          <w:p>
            <w:pPr>
              <w:pStyle w:val="null3"/>
            </w:pPr>
            <w:r>
              <w:rPr>
                <w:rFonts w:ascii="仿宋_GB2312" w:hAnsi="仿宋_GB2312" w:cs="仿宋_GB2312" w:eastAsia="仿宋_GB2312"/>
              </w:rPr>
              <w:t>（</w:t>
            </w:r>
            <w:r>
              <w:rPr>
                <w:rFonts w:ascii="仿宋_GB2312" w:hAnsi="仿宋_GB2312" w:cs="仿宋_GB2312" w:eastAsia="仿宋_GB2312"/>
              </w:rPr>
              <w:t>一</w:t>
            </w:r>
            <w:r>
              <w:rPr>
                <w:rFonts w:ascii="仿宋_GB2312" w:hAnsi="仿宋_GB2312" w:cs="仿宋_GB2312" w:eastAsia="仿宋_GB2312"/>
              </w:rPr>
              <w:t>）</w:t>
            </w:r>
            <w:r>
              <w:rPr>
                <w:rFonts w:ascii="仿宋_GB2312" w:hAnsi="仿宋_GB2312" w:cs="仿宋_GB2312" w:eastAsia="仿宋_GB2312"/>
              </w:rPr>
              <w:t>咨询评机构应当组织相关专家对文物保护单位保护维修工程进行</w:t>
            </w:r>
            <w:r>
              <w:rPr>
                <w:rFonts w:ascii="仿宋_GB2312" w:hAnsi="仿宋_GB2312" w:cs="仿宋_GB2312" w:eastAsia="仿宋_GB2312"/>
              </w:rPr>
              <w:t>咨询</w:t>
            </w:r>
            <w:r>
              <w:rPr>
                <w:rFonts w:ascii="仿宋_GB2312" w:hAnsi="仿宋_GB2312" w:cs="仿宋_GB2312" w:eastAsia="仿宋_GB2312"/>
              </w:rPr>
              <w:t>评估，应按照客观、公正、科学的原则，对文物保护项目进行评估，提出明确的意见。并在规定期限内出具评估报告。</w:t>
            </w:r>
          </w:p>
          <w:p>
            <w:pPr>
              <w:pStyle w:val="null3"/>
            </w:pPr>
            <w:r>
              <w:rPr>
                <w:rFonts w:ascii="仿宋_GB2312" w:hAnsi="仿宋_GB2312" w:cs="仿宋_GB2312" w:eastAsia="仿宋_GB2312"/>
              </w:rPr>
              <w:t>（</w:t>
            </w:r>
            <w:r>
              <w:rPr>
                <w:rFonts w:ascii="仿宋_GB2312" w:hAnsi="仿宋_GB2312" w:cs="仿宋_GB2312" w:eastAsia="仿宋_GB2312"/>
              </w:rPr>
              <w:t>二</w:t>
            </w:r>
            <w:r>
              <w:rPr>
                <w:rFonts w:ascii="仿宋_GB2312" w:hAnsi="仿宋_GB2312" w:cs="仿宋_GB2312" w:eastAsia="仿宋_GB2312"/>
              </w:rPr>
              <w:t>）成交供应商应按国家技术规范、标准、规程及采购人提出的要求，完成文物保护单位保护维修工程</w:t>
            </w:r>
            <w:r>
              <w:rPr>
                <w:rFonts w:ascii="仿宋_GB2312" w:hAnsi="仿宋_GB2312" w:cs="仿宋_GB2312" w:eastAsia="仿宋_GB2312"/>
              </w:rPr>
              <w:t>咨询评估</w:t>
            </w:r>
            <w:r>
              <w:rPr>
                <w:rFonts w:ascii="仿宋_GB2312" w:hAnsi="仿宋_GB2312" w:cs="仿宋_GB2312" w:eastAsia="仿宋_GB2312"/>
              </w:rPr>
              <w:t>报告，并对其负责。</w:t>
            </w:r>
          </w:p>
          <w:p>
            <w:pPr>
              <w:pStyle w:val="null3"/>
            </w:pPr>
            <w:r>
              <w:rPr>
                <w:rFonts w:ascii="仿宋_GB2312" w:hAnsi="仿宋_GB2312" w:cs="仿宋_GB2312" w:eastAsia="仿宋_GB2312"/>
              </w:rPr>
              <w:t>（</w:t>
            </w:r>
            <w:r>
              <w:rPr>
                <w:rFonts w:ascii="仿宋_GB2312" w:hAnsi="仿宋_GB2312" w:cs="仿宋_GB2312" w:eastAsia="仿宋_GB2312"/>
              </w:rPr>
              <w:t>三</w:t>
            </w:r>
            <w:r>
              <w:rPr>
                <w:rFonts w:ascii="仿宋_GB2312" w:hAnsi="仿宋_GB2312" w:cs="仿宋_GB2312" w:eastAsia="仿宋_GB2312"/>
              </w:rPr>
              <w:t>）供应商提供服务时，服务要求应按不低于国家、省、市有关部门规定的质量标准执行。</w:t>
            </w:r>
          </w:p>
          <w:p>
            <w:pPr>
              <w:pStyle w:val="null3"/>
            </w:pPr>
            <w:r>
              <w:rPr>
                <w:rFonts w:ascii="仿宋_GB2312" w:hAnsi="仿宋_GB2312" w:cs="仿宋_GB2312" w:eastAsia="仿宋_GB2312"/>
              </w:rPr>
              <w:t>（</w:t>
            </w:r>
            <w:r>
              <w:rPr>
                <w:rFonts w:ascii="仿宋_GB2312" w:hAnsi="仿宋_GB2312" w:cs="仿宋_GB2312" w:eastAsia="仿宋_GB2312"/>
              </w:rPr>
              <w:t>四</w:t>
            </w:r>
            <w:r>
              <w:rPr>
                <w:rFonts w:ascii="仿宋_GB2312" w:hAnsi="仿宋_GB2312" w:cs="仿宋_GB2312" w:eastAsia="仿宋_GB2312"/>
              </w:rPr>
              <w:t>）</w:t>
            </w:r>
            <w:r>
              <w:rPr>
                <w:rFonts w:ascii="仿宋_GB2312" w:hAnsi="仿宋_GB2312" w:cs="仿宋_GB2312" w:eastAsia="仿宋_GB2312"/>
              </w:rPr>
              <w:t>专家组对现场评估检查以及现场质询和记录等情况进行综合分析与评定，提出中期</w:t>
            </w:r>
            <w:r>
              <w:rPr>
                <w:rFonts w:ascii="仿宋_GB2312" w:hAnsi="仿宋_GB2312" w:cs="仿宋_GB2312" w:eastAsia="仿宋_GB2312"/>
              </w:rPr>
              <w:t>评估或者验收</w:t>
            </w:r>
            <w:r>
              <w:rPr>
                <w:rFonts w:ascii="仿宋_GB2312" w:hAnsi="仿宋_GB2312" w:cs="仿宋_GB2312" w:eastAsia="仿宋_GB2312"/>
              </w:rPr>
              <w:t>意见，对评估发现问题，明确提出整改要求，建设单位、管理使用单位针对评估结果提出的问题，组织做好整改工作</w:t>
            </w:r>
            <w:r>
              <w:rPr>
                <w:rFonts w:ascii="仿宋_GB2312" w:hAnsi="仿宋_GB2312" w:cs="仿宋_GB2312" w:eastAsia="仿宋_GB2312"/>
              </w:rPr>
              <w:t>，</w:t>
            </w:r>
            <w:r>
              <w:rPr>
                <w:rFonts w:ascii="仿宋_GB2312" w:hAnsi="仿宋_GB2312" w:cs="仿宋_GB2312" w:eastAsia="仿宋_GB2312"/>
              </w:rPr>
              <w:t>并在整改完善后向评估组织单位报送整改报告</w:t>
            </w:r>
          </w:p>
          <w:p>
            <w:pPr>
              <w:pStyle w:val="null3"/>
            </w:pPr>
            <w:r>
              <w:rPr>
                <w:rFonts w:ascii="仿宋_GB2312" w:hAnsi="仿宋_GB2312" w:cs="仿宋_GB2312" w:eastAsia="仿宋_GB2312"/>
              </w:rPr>
              <w:t>（</w:t>
            </w:r>
            <w:r>
              <w:rPr>
                <w:rFonts w:ascii="仿宋_GB2312" w:hAnsi="仿宋_GB2312" w:cs="仿宋_GB2312" w:eastAsia="仿宋_GB2312"/>
              </w:rPr>
              <w:t>五</w:t>
            </w:r>
            <w:r>
              <w:rPr>
                <w:rFonts w:ascii="仿宋_GB2312" w:hAnsi="仿宋_GB2312" w:cs="仿宋_GB2312" w:eastAsia="仿宋_GB2312"/>
              </w:rPr>
              <w:t>）第三方评估机构在规定期限内向</w:t>
            </w:r>
            <w:r>
              <w:rPr>
                <w:rFonts w:ascii="仿宋_GB2312" w:hAnsi="仿宋_GB2312" w:cs="仿宋_GB2312" w:eastAsia="仿宋_GB2312"/>
              </w:rPr>
              <w:t>业务处</w:t>
            </w:r>
            <w:r>
              <w:rPr>
                <w:rFonts w:ascii="仿宋_GB2312" w:hAnsi="仿宋_GB2312" w:cs="仿宋_GB2312" w:eastAsia="仿宋_GB2312"/>
              </w:rPr>
              <w:t>出具同意或不同意的技术评估结论（报告），为行政审批决策提供依据。第三方评估机构所有项目须在</w:t>
            </w:r>
            <w:r>
              <w:rPr>
                <w:rFonts w:ascii="仿宋_GB2312" w:hAnsi="仿宋_GB2312" w:cs="仿宋_GB2312" w:eastAsia="仿宋_GB2312"/>
              </w:rPr>
              <w:t>30个工作日内完成评估，并向处室出具技术评估结论（报告）。对修改后的技术方案的再次评估，一般不超过20个工作日。</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满足本项目服务需求的设施设备要求。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自合同签订到2026年9月30日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陕西省文物局</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、交付的服务必须等同或优于本项目采购文件“服务内容及要求”所述的标准。若乙方在其响应文件中承诺的技术标准优于本项目采购文件“服务内容及要求”所述标准的，按响应的承诺执行。 2 、中标（成交）供应商完成并交付的工作成果需经采购人验收合格，则视为接受。如果在验收时采购人表明不接受中标（成交）供应商提交的工作成果并明示不接受的原因，中标供应商应当采取合理之措施进行修改，以达到合同规定的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合同签订后15个日历日内甲方向乙方支付总合同款的100%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1、本合同履行期间，任何一方发生了不可抗力事件，以致不能履行或不能如期履行本合同，各方协商一致后，发生不可抗力事件的一方可以免除履行本合同的责任或推迟履行本合同。 2、本合同约定的不可抗力事件包括以下范围：⑴自然原因引起的事件，如地震、洪水、飓风、寒流、火山爆发、大雪、水灾、冰灾、暴风雨等；⑵社会原因引起的事件，如战争、罢工、政府禁令、封锁、疫情等； 3、发生不可抗力的一方，应于不可抗力发生后5天内以书面形式通知对方，通报不可抗力的详尽情况，提交不可抗力影响履行程度的官方证明文件。未尽告知义务的，不免除违约责任。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1、根据采购人档案管理要求，需线下提交响应文件正本壹份、副本贰套（响应文件双面打印）、电子版壹 套（U盘一套标明供应商名称，随正本密封）。2、落实政府采购政策《国务院办公厅关于在政府采购中实施本国产品标准及相关政策的通知国办发〔2025〕34号》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3、定标环节采购人有权对响应文件承诺响应的内容进行复核，如有虚假响应，一经发现，取消成交资格并上报财政主管部门，列入政府采购黑名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资格响应表.docx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资格响应表.docx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法定代表人身份证或法定代表人授权书及授权代表身份证</w:t>
            </w:r>
          </w:p>
        </w:tc>
        <w:tc>
          <w:tcPr>
            <w:tcW w:type="dxa" w:w="3322"/>
          </w:tcPr>
          <w:p>
            <w:pPr>
              <w:pStyle w:val="null3"/>
            </w:pPr>
            <w:r>
              <w:rPr>
                <w:rFonts w:ascii="仿宋_GB2312" w:hAnsi="仿宋_GB2312" w:cs="仿宋_GB2312" w:eastAsia="仿宋_GB2312"/>
              </w:rPr>
              <w:t>供应商应授权合法的人员参加磋商，其中法定代表人直接参加的，须提供法定代表人身份证，并与营业执照上信息一致。法定代表人授权代表参加的，须提供法定代表人授权书及授权代表身份证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本项目不接受联合体参与</w:t>
            </w:r>
          </w:p>
        </w:tc>
        <w:tc>
          <w:tcPr>
            <w:tcW w:type="dxa" w:w="3322"/>
          </w:tcPr>
          <w:p>
            <w:pPr>
              <w:pStyle w:val="null3"/>
            </w:pPr>
            <w:r>
              <w:rPr>
                <w:rFonts w:ascii="仿宋_GB2312" w:hAnsi="仿宋_GB2312" w:cs="仿宋_GB2312" w:eastAsia="仿宋_GB2312"/>
              </w:rPr>
              <w:t>本项目不接受联合体参与，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资格响应表.docx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磋商过程中，磋商小组认为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二.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三、强化政府采购异常低价审查 （一）政府采购评审中出现下列情形之一的，磋商小组应当启动异常低价响应审查程序：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二）磋商小组启动异常低价响应审查后，相关供应商在评审现场合理的时间内对响应价格作出解释，提供项目具体成本测算等与报价合理性相关的书面说明及必要的证明材料，包括但不限于原材料成本、人工成本、制造费用等。 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tc>
        <w:tc>
          <w:tcPr>
            <w:tcW w:type="dxa" w:w="1661"/>
          </w:tcPr>
          <w:p>
            <w:pPr>
              <w:pStyle w:val="null3"/>
            </w:pPr>
            <w:r>
              <w:rPr>
                <w:rFonts w:ascii="仿宋_GB2312" w:hAnsi="仿宋_GB2312" w:cs="仿宋_GB2312" w:eastAsia="仿宋_GB2312"/>
              </w:rPr>
              <w:t>标的清单 报价表 商务及技术偏离表.docx 报价表及分项报价表.docx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自合同签订之日起到2026年9月30日</w:t>
            </w:r>
          </w:p>
        </w:tc>
        <w:tc>
          <w:tcPr>
            <w:tcW w:type="dxa" w:w="1661"/>
          </w:tcPr>
          <w:p>
            <w:pPr>
              <w:pStyle w:val="null3"/>
            </w:pPr>
            <w:r>
              <w:rPr>
                <w:rFonts w:ascii="仿宋_GB2312" w:hAnsi="仿宋_GB2312" w:cs="仿宋_GB2312" w:eastAsia="仿宋_GB2312"/>
              </w:rPr>
              <w:t>响应文件封面 商务及技术偏离表.docx 报价表及分项报价表.docx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合同签订后15个日历日内甲方向乙方支付总合同款的100%。</w:t>
            </w:r>
          </w:p>
        </w:tc>
        <w:tc>
          <w:tcPr>
            <w:tcW w:type="dxa" w:w="1661"/>
          </w:tcPr>
          <w:p>
            <w:pPr>
              <w:pStyle w:val="null3"/>
            </w:pPr>
            <w:r>
              <w:rPr>
                <w:rFonts w:ascii="仿宋_GB2312" w:hAnsi="仿宋_GB2312" w:cs="仿宋_GB2312" w:eastAsia="仿宋_GB2312"/>
              </w:rPr>
              <w:t>响应文件封面 商务及技术偏离表.docx 报价表及分项报价表.docx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响应函 商务及技术偏离表.docx 报价表及分项报价表.docx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供应商有法律、规章、规范性文件和磋商文件规定的其他无效情形，按无效响应处理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供应商有法律、规章、规范性文件和磋商文件规定的其他无效情形，按无效响应处理</w:t>
            </w:r>
          </w:p>
        </w:tc>
        <w:tc>
          <w:tcPr>
            <w:tcW w:type="dxa" w:w="1661"/>
          </w:tcPr>
          <w:p>
            <w:pPr>
              <w:pStyle w:val="null3"/>
            </w:pPr>
            <w:r>
              <w:rPr>
                <w:rFonts w:ascii="仿宋_GB2312" w:hAnsi="仿宋_GB2312" w:cs="仿宋_GB2312" w:eastAsia="仿宋_GB2312"/>
              </w:rPr>
              <w:t>响应文件封面 资格响应表.docx 商务及技术偏离表.docx 报价表及分项报价表.docx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需求分析</w:t>
            </w:r>
          </w:p>
        </w:tc>
        <w:tc>
          <w:tcPr>
            <w:tcW w:type="dxa" w:w="2492"/>
          </w:tcPr>
          <w:p>
            <w:pPr>
              <w:pStyle w:val="null3"/>
            </w:pPr>
            <w:r>
              <w:rPr>
                <w:rFonts w:ascii="仿宋_GB2312" w:hAnsi="仿宋_GB2312" w:cs="仿宋_GB2312" w:eastAsia="仿宋_GB2312"/>
              </w:rPr>
              <w:t>根据本项目服务内容结合项目具体情况提供项目理解及需求分析，至少包含：1.项目需求和实施特点的理解；2.文物项目相关法律法规理解；3.项目前期准备计划。 要求：方案各项内容全面详细、阐述条理清晰得满分，每有一项缺项扣3分，每有一处内容存在缺陷，扣0.5分，扣完为止。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整体工作方案</w:t>
            </w:r>
          </w:p>
        </w:tc>
        <w:tc>
          <w:tcPr>
            <w:tcW w:type="dxa" w:w="2492"/>
          </w:tcPr>
          <w:p>
            <w:pPr>
              <w:pStyle w:val="null3"/>
            </w:pPr>
            <w:r>
              <w:rPr>
                <w:rFonts w:ascii="仿宋_GB2312" w:hAnsi="仿宋_GB2312" w:cs="仿宋_GB2312" w:eastAsia="仿宋_GB2312"/>
              </w:rPr>
              <w:t>根据服务内容提供工作方案，工作方案至少包含：1.项目立项计划书评审；2.项目技术方案评审；3.项目项目验收报告评审；4.工程咨询评估报告的出具。 要求：方案各项内容全面详细、阐述条理清晰得满分，每有一项缺项扣3分，每有一处内容存在缺陷，扣0.5分，扣完为止。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根据本项目提供的重点难点分析，至少包含：1.重点、难点问题罗列及原因；2.重点、难点问题应对措施等进行评审。 要求：方案各项内容全面详细、阐述条理清晰得满分，每有一项缺项扣3分，每有一处内容存在缺陷，扣0.5分，扣完为止。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进度计划及保障方案</w:t>
            </w:r>
          </w:p>
        </w:tc>
        <w:tc>
          <w:tcPr>
            <w:tcW w:type="dxa" w:w="2492"/>
          </w:tcPr>
          <w:p>
            <w:pPr>
              <w:pStyle w:val="null3"/>
            </w:pPr>
            <w:r>
              <w:rPr>
                <w:rFonts w:ascii="仿宋_GB2312" w:hAnsi="仿宋_GB2312" w:cs="仿宋_GB2312" w:eastAsia="仿宋_GB2312"/>
              </w:rPr>
              <w:t>根据本项目提供进度计划及保障方案，至少包含：1.评估工作进度计划安排；2、资源配置与协调（包括人力部署，物力调配等）；3、服务按时完成保障措施。 要求：切合项目具体情况，能有效保障本项目实施，每有一项缺项扣2分，每有一处内容存在缺陷，扣0.5分，扣完为止。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提供针对本项目的质量保障措施至少包括：1、针对日常工作的质量保障措施；2、有利于提高服务质量的其他服务措施。 要求：切合项目具体情况，能有效保障本项目实施，每有一项缺项扣3分，每有一处内容存在缺陷，扣0.5分，扣完为止。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信息保密方案及措施</w:t>
            </w:r>
          </w:p>
        </w:tc>
        <w:tc>
          <w:tcPr>
            <w:tcW w:type="dxa" w:w="2492"/>
          </w:tcPr>
          <w:p>
            <w:pPr>
              <w:pStyle w:val="null3"/>
            </w:pPr>
            <w:r>
              <w:rPr>
                <w:rFonts w:ascii="仿宋_GB2312" w:hAnsi="仿宋_GB2312" w:cs="仿宋_GB2312" w:eastAsia="仿宋_GB2312"/>
              </w:rPr>
              <w:t>根据项目服务内容提供安全管理及保密方案，至少包含：1.信息保密方案及保密措施；2.安全管理方案；3.工作人员操作规范。 要求：切合项目具体情况，能有效保障本项目实施，每有一项缺项扣2分，每有一处内容存在缺陷，扣0.5分，扣完为止。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根据供应商提供的对成果文件的准确性、服务时限内团队稳定性、人员到位情况、服务质量等相关内容做出的承诺进行评分： 1.承诺全面、详实，服务质量配合承诺清晰明确，得4分； 2.承诺较为详实全面，服务质量配合承诺基本完善，得3分； 3.承诺不全面，服务质量配合承诺较为简略，得1分； 4.无相关的承诺得0分。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项目负责人：1、供应商拟派项目负责人具有文物保护相关专业中级（含）以上技术职称证书，计2分； 2、项目负责人2022年1月1日至今类似项目业绩合同，每提供一份计1分，满分2分。 备注：需提供项目负责人职称证、身份证；项目负责人业绩与企业业绩不重复计分且业绩需体现项目负责人姓名，未提供或虽提供但无法佐证的不计分。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服务团队人员</w:t>
            </w:r>
          </w:p>
        </w:tc>
        <w:tc>
          <w:tcPr>
            <w:tcW w:type="dxa" w:w="2492"/>
          </w:tcPr>
          <w:p>
            <w:pPr>
              <w:pStyle w:val="null3"/>
            </w:pPr>
            <w:r>
              <w:rPr>
                <w:rFonts w:ascii="仿宋_GB2312" w:hAnsi="仿宋_GB2312" w:cs="仿宋_GB2312" w:eastAsia="仿宋_GB2312"/>
              </w:rPr>
              <w:t>提供针对本项目的团队配备方案，至少包含：1.人员配备齐全、结构合理；2.工作分配情况表；3.人员配备能力完备性。 要求：内容全面详细、阐述条理清晰，能有效保障本项目实施，每有一项缺项扣3分，每有一处内容存在缺陷，扣0.5分，扣完为止。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提供针对本项目的应急预案，至少包含：1.对可能发生的紧急情况罗列及原因；2.紧急情况的应对措施等进行评审。 要求：方案各项内容全面详细、阐述条理清晰得满分，每有一项缺项扣3分，每有一处内容存在缺陷，扣0.5分，扣完为止。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特色服务</w:t>
            </w:r>
          </w:p>
        </w:tc>
        <w:tc>
          <w:tcPr>
            <w:tcW w:type="dxa" w:w="2492"/>
          </w:tcPr>
          <w:p>
            <w:pPr>
              <w:pStyle w:val="null3"/>
            </w:pPr>
            <w:r>
              <w:rPr>
                <w:rFonts w:ascii="仿宋_GB2312" w:hAnsi="仿宋_GB2312" w:cs="仿宋_GB2312" w:eastAsia="仿宋_GB2312"/>
              </w:rPr>
              <w:t>供应商提供针对本项目的特色服务进行评分。 1、内容符合项目实际情况，阐述条理清晰得6分； 2、提供相关方案但未贴合项目实际情况进行论述，或内容中未包括具体实施细节及措施，得4分； 3、方案内容有缺陷、表述前后不一致、套用其他项目方案或与项目需求匹配性差得2分； 4、未提供不得分。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供应商可根据自身情况及项目特征，做出本项目的合理化建议。 1.合理化建议详尽、全面、有效、合理，可实施性强，得6分； 2.合理化建议有效、合理、可实施，得4分； 3.合理化建议基本有效，但可实施性有所欠缺，得2分； 4.不合理或未提供得0分。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提供供应商2023年1月1日至今同类项目的业绩（以合同签订日期为准，供应商所提供合同必须有签订日期）每提供1份有效业绩得2分，共10分，未提供的不得分。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服务方案、人员表及供应商认为有必要提供的其他内容.docx</w:t>
            </w:r>
          </w:p>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报价表及分项报价表.docx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本国产品声明函.docx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详见附件：商务及技术偏离表.docx</w:t>
      </w:r>
    </w:p>
    <w:p>
      <w:pPr>
        <w:pStyle w:val="null3"/>
        <w:ind w:firstLine="960"/>
      </w:pPr>
      <w:r>
        <w:rPr>
          <w:rFonts w:ascii="仿宋_GB2312" w:hAnsi="仿宋_GB2312" w:cs="仿宋_GB2312" w:eastAsia="仿宋_GB2312"/>
        </w:rPr>
        <w:t>详见附件：服务方案、人员表及供应商认为有必要提供的其他内容.docx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详见附件：报价表及分项报价表.docx</w:t>
      </w:r>
    </w:p>
    <w:p>
      <w:pPr>
        <w:pStyle w:val="null3"/>
        <w:ind w:firstLine="960"/>
      </w:pPr>
      <w:r>
        <w:rPr>
          <w:rFonts w:ascii="仿宋_GB2312" w:hAnsi="仿宋_GB2312" w:cs="仿宋_GB2312" w:eastAsia="仿宋_GB2312"/>
        </w:rPr>
        <w:t>详见附件：本国产品声明函.docx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