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版本号：GD-2026-006.1B120260313001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陕西省北洛河上中游及延河上游测雨雷达建设勘测设计(二次)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GD-2026-006.1B1</w:t>
      </w:r>
      <w:r>
        <w:br/>
      </w:r>
      <w:r>
        <w:br/>
      </w:r>
      <w:r>
        <w:br/>
      </w:r>
    </w:p>
    <w:p>
      <w:pPr>
        <w:pStyle w:val="null3"/>
        <w:jc w:val="center"/>
        <w:outlineLvl w:val="2"/>
      </w:pPr>
      <w:r>
        <w:rPr>
          <w:rFonts w:ascii="仿宋_GB2312" w:hAnsi="仿宋_GB2312" w:cs="仿宋_GB2312" w:eastAsia="仿宋_GB2312"/>
          <w:sz w:val="28"/>
          <w:b/>
        </w:rPr>
        <w:t>陕西省水旱灾害防御中心</w:t>
      </w:r>
    </w:p>
    <w:p>
      <w:pPr>
        <w:pStyle w:val="null3"/>
        <w:jc w:val="center"/>
        <w:outlineLvl w:val="2"/>
      </w:pPr>
      <w:r>
        <w:rPr>
          <w:rFonts w:ascii="仿宋_GB2312" w:hAnsi="仿宋_GB2312" w:cs="仿宋_GB2312" w:eastAsia="仿宋_GB2312"/>
          <w:sz w:val="28"/>
          <w:b/>
        </w:rPr>
        <w:t>广达咨询有限公司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广达咨询有限公司</w:t>
      </w:r>
      <w:r>
        <w:rPr>
          <w:rFonts w:ascii="仿宋_GB2312" w:hAnsi="仿宋_GB2312" w:cs="仿宋_GB2312" w:eastAsia="仿宋_GB2312"/>
        </w:rPr>
        <w:t>（以下简称“代理机构”）受</w:t>
      </w:r>
      <w:r>
        <w:rPr>
          <w:rFonts w:ascii="仿宋_GB2312" w:hAnsi="仿宋_GB2312" w:cs="仿宋_GB2312" w:eastAsia="仿宋_GB2312"/>
        </w:rPr>
        <w:t>陕西省水旱灾害防御中心</w:t>
      </w:r>
      <w:r>
        <w:rPr>
          <w:rFonts w:ascii="仿宋_GB2312" w:hAnsi="仿宋_GB2312" w:cs="仿宋_GB2312" w:eastAsia="仿宋_GB2312"/>
        </w:rPr>
        <w:t>委托，拟对</w:t>
      </w:r>
      <w:r>
        <w:rPr>
          <w:rFonts w:ascii="仿宋_GB2312" w:hAnsi="仿宋_GB2312" w:cs="仿宋_GB2312" w:eastAsia="仿宋_GB2312"/>
        </w:rPr>
        <w:t>陕西省北洛河上中游及延河上游测雨雷达建设勘测设计(二次)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GD-2026-006.1B1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陕西省北洛河上中游及延河上游测雨雷达建设勘测设计(二次)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实施陕西省北洛河中游及延河上游测雨雷达建设项目，在吴起县、志丹县、靖边县、甘泉县、宝塔区、安塞区6个区域，布设6部测雨雷达，包括北洛河的周河、葫芦河、头道川、二道川、三道川、乱石头川，延河上游的杏子河西川河、蟠龙川，芦河和红柳河，以及志丹、吴起、安塞、宝塔城区，覆盖面积2.6万km2。设备选用全固态X波段机械扫描测雨雷达，按照全面组网、协同覆盖、消除盲区的要求进行站点选址，建成覆盖无盲区、精度可追溯的智能测雨雷达网络。同步建设雷达铁塔、方舱(机房)、防雷接地、供配电、通信及安防等配套设施。开展定标调试、数据质量控制、雨量反演模型构建及临近预报模型开发，确保雷达数据实时接入省级山洪灾害监测预报预警平台，实现“降雨-产流一洪峰”滚动预报，及时提供区域雨量信息，实现精细化面雨量监测、临近预报和强降雨追踪目的，解决该区域监测盲区大、预警提前量短的问题，全面提升该区域水旱灾害监测预报预警能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1、资质要求：供应商具有有效的工程设计综合甲级或工程设计水利行业乙级及以上资质或工程设计水利行业（水文设施）专业乙级及以上资质。</w:t>
      </w:r>
    </w:p>
    <w:p>
      <w:pPr>
        <w:pStyle w:val="null3"/>
      </w:pPr>
      <w:r>
        <w:rPr>
          <w:rFonts w:ascii="仿宋_GB2312" w:hAnsi="仿宋_GB2312" w:cs="仿宋_GB2312" w:eastAsia="仿宋_GB2312"/>
        </w:rPr>
        <w:t>2、项目负责人：具有水利相关专业高级（含高级）以上工程师证书。</w:t>
      </w:r>
    </w:p>
    <w:p>
      <w:pPr>
        <w:pStyle w:val="null3"/>
      </w:pPr>
      <w:r>
        <w:rPr>
          <w:rFonts w:ascii="仿宋_GB2312" w:hAnsi="仿宋_GB2312" w:cs="仿宋_GB2312" w:eastAsia="仿宋_GB2312"/>
        </w:rPr>
        <w:t>3、授权委托书：法定代表人授权委托书及授权代表身份证（法定代表人直接参加磋商的须提供法定代表人证明及其身份证），非法人单位参照执行。</w:t>
      </w:r>
    </w:p>
    <w:p>
      <w:pPr>
        <w:pStyle w:val="null3"/>
      </w:pPr>
      <w:r>
        <w:rPr>
          <w:rFonts w:ascii="仿宋_GB2312" w:hAnsi="仿宋_GB2312" w:cs="仿宋_GB2312" w:eastAsia="仿宋_GB2312"/>
        </w:rPr>
        <w:t>4、信用查询：供应商须通过“信用中国” 网站及中国政府采购网查询相关主体信用记录（查询日期为从招标文件发售之日起至投标截止日前），以网页截图加盖供应商公章为准（对列入失信被执行人、重大税收违法案件当事人名单、政府采购严重违法失信行为记录名单及其他不符合《 中华人民共和国政府采购法》第二十二条规定条件的采购代理机构将拒绝其参与政府采购活动）。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陕西省水旱灾害防御中心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陕西省水旱灾害防御中心经办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029-61835401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广达咨询有限公司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陕西省西安市曲江新区旺座曲江K座1801室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刘亮芳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029-89866364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代理服务费收费标准：本项目采购代理服务费以成交价作为收费基数，按照国家计委 (计价格【 2002】1980号)《招标代理服务收费管理暂行办法》规定的收费标准收取。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陕西省水旱灾害防御中心</w:t>
      </w:r>
      <w:r>
        <w:rPr>
          <w:rFonts w:ascii="仿宋_GB2312" w:hAnsi="仿宋_GB2312" w:cs="仿宋_GB2312" w:eastAsia="仿宋_GB2312"/>
        </w:rPr>
        <w:t>和</w:t>
      </w:r>
      <w:r>
        <w:rPr>
          <w:rFonts w:ascii="仿宋_GB2312" w:hAnsi="仿宋_GB2312" w:cs="仿宋_GB2312" w:eastAsia="仿宋_GB2312"/>
        </w:rPr>
        <w:t>广达咨询有限公司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陕西省水旱灾害防御中心</w:t>
      </w:r>
      <w:r>
        <w:rPr>
          <w:rFonts w:ascii="仿宋_GB2312" w:hAnsi="仿宋_GB2312" w:cs="仿宋_GB2312" w:eastAsia="仿宋_GB2312"/>
        </w:rPr>
        <w:t>负责解释。除上述磋商文件内容，其他内容由</w:t>
      </w:r>
      <w:r>
        <w:rPr>
          <w:rFonts w:ascii="仿宋_GB2312" w:hAnsi="仿宋_GB2312" w:cs="仿宋_GB2312" w:eastAsia="仿宋_GB2312"/>
        </w:rPr>
        <w:t>广达咨询有限公司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陕西省水旱灾害防御中心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广达咨询有限公司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采购包1：分包比例100%；资质要求详见第4章</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 1、合同文本、合同附件、竞争性磋商文件、成交供应商的响应文件。 2、国内相应的标准、规范。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广达咨询有限公司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广达咨询有限公司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广达咨询有限公司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联系人：刘亮芳</w:t>
      </w:r>
    </w:p>
    <w:p>
      <w:pPr>
        <w:pStyle w:val="null3"/>
      </w:pPr>
      <w:r>
        <w:rPr>
          <w:rFonts w:ascii="仿宋_GB2312" w:hAnsi="仿宋_GB2312" w:cs="仿宋_GB2312" w:eastAsia="仿宋_GB2312"/>
        </w:rPr>
        <w:t>联系电话：029-89866364</w:t>
      </w:r>
    </w:p>
    <w:p>
      <w:pPr>
        <w:pStyle w:val="null3"/>
      </w:pPr>
      <w:r>
        <w:rPr>
          <w:rFonts w:ascii="仿宋_GB2312" w:hAnsi="仿宋_GB2312" w:cs="仿宋_GB2312" w:eastAsia="仿宋_GB2312"/>
        </w:rPr>
        <w:t>地址：陕西省西安市曲江新区旺座曲江K座1801室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实施陕西省北洛河中游及延河上游测雨雷达建设项目，在吴起县、志丹县、靖边县、甘泉县、宝塔区、安塞区6个区域，布设6部测雨雷达，包括北洛河的周河、葫芦河、头道川、二道川、三道川、乱石头川，延河上游的杏子河西川河、蟠龙川，芦河和红柳河，以及志丹、吴起、安塞、宝塔城区，覆盖面积2.6万km2。设备选用全固态X波段机械扫描测雨雷达，按照全面组网、协同覆盖、消除盲区的要求进行站点选址，建成覆盖无盲区、精度可追溯的智能测雨雷达网络。同步建设雷达铁塔、方舱(机房)、防雷接地、供配电、通信及安防等配套设施。开展定标调试、数据质量控制、雨量反演模型构建及临近预报模型开发，确保雷达数据实时接入省级山洪灾害监测预报预警平台，实现“降雨-产流一洪峰”滚动预报，及时提供区域雨量信息，实现精细化面雨量监测、临近预报和强降雨追踪目的，解决该区域监测盲区大、预警提前量短的问题，全面提升该区域水旱灾害监测预报预警能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1,250,000.00</w:t>
      </w:r>
    </w:p>
    <w:p>
      <w:pPr>
        <w:pStyle w:val="null3"/>
      </w:pPr>
      <w:r>
        <w:rPr>
          <w:rFonts w:ascii="仿宋_GB2312" w:hAnsi="仿宋_GB2312" w:cs="仿宋_GB2312" w:eastAsia="仿宋_GB2312"/>
        </w:rPr>
        <w:t>采购包最高限价（元）: 1,250,000.00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陕西省北洛河上中游及延河上游测雨雷达建设勘测设计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标的名称：陕西省北洛河上中游及延河上游测雨雷达建设勘测设计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通过实施陕西省北洛河中游及延河上游测雨雷达建设项目，在吴起县、志丹县、靖边县、甘泉县、宝塔区、安塞区</w:t>
            </w:r>
            <w:r>
              <w:rPr>
                <w:rFonts w:ascii="仿宋_GB2312" w:hAnsi="仿宋_GB2312" w:cs="仿宋_GB2312" w:eastAsia="仿宋_GB2312"/>
                <w:sz w:val="24"/>
              </w:rPr>
              <w:t>6个区域，布设6部测雨雷达，包括北洛河的周河、葫芦河、头道川、二道川、三道川、乱石头川，延河上游的杏子河西川河、蟠龙川，芦河和红柳河，以及志丹、吴起、安塞、宝塔城区，覆盖面积2.6万km2。设备选用全固态X波段机械扫描测雨雷达，按照全面组网、协同覆盖、消除盲区的要求进行站点选址，建成覆盖无盲区、精度可追溯的智能测雨雷达网络。同步建设雷达铁塔、方舱(机房)、防雷接地、供配电、通信及安防等配套设施。开展定标调试、数据质量控制、雨量反演模型构建及临近预报模型开发，确保雷达数据实时接入省级山洪灾害监测预报预警平台，实现“降雨-产流一洪峰”滚动预报，及时提供区域雨量信息，实现精细化面雨量监测、临近预报和强降雨追踪目的，解决该区域监测盲区大、预警提前量短的问题，全面提升该区域水旱灾害监测预报预警能力。</w:t>
            </w:r>
          </w:p>
          <w:p>
            <w:pPr>
              <w:pStyle w:val="null3"/>
              <w:ind w:firstLine="482"/>
              <w:jc w:val="both"/>
            </w:pPr>
            <w:r>
              <w:rPr>
                <w:rFonts w:ascii="仿宋_GB2312" w:hAnsi="仿宋_GB2312" w:cs="仿宋_GB2312" w:eastAsia="仿宋_GB2312"/>
                <w:sz w:val="24"/>
                <w:b/>
              </w:rPr>
              <w:t>二、采购内容</w:t>
            </w:r>
          </w:p>
          <w:p>
            <w:pPr>
              <w:pStyle w:val="null3"/>
              <w:ind w:firstLine="480"/>
              <w:jc w:val="both"/>
            </w:pPr>
            <w:r>
              <w:rPr>
                <w:rFonts w:ascii="仿宋_GB2312" w:hAnsi="仿宋_GB2312" w:cs="仿宋_GB2312" w:eastAsia="仿宋_GB2312"/>
                <w:sz w:val="24"/>
              </w:rPr>
              <w:t>陕西省北洛河上中游及延河上游测雨雷达建设勘测设计</w:t>
            </w:r>
            <w:r>
              <w:rPr>
                <w:rFonts w:ascii="仿宋_GB2312" w:hAnsi="仿宋_GB2312" w:cs="仿宋_GB2312" w:eastAsia="仿宋_GB2312"/>
                <w:sz w:val="24"/>
              </w:rPr>
              <w:t>标段：</w:t>
            </w:r>
            <w:r>
              <w:rPr>
                <w:rFonts w:ascii="仿宋_GB2312" w:hAnsi="仿宋_GB2312" w:cs="仿宋_GB2312" w:eastAsia="仿宋_GB2312"/>
                <w:sz w:val="24"/>
              </w:rPr>
              <w:t>开展测雨雷达建设地质地形勘察、站点选址、施工设计及工程量清单、后续设计交底、变更服务及专题报告编制（包括但不限于环评、水保、林评等），协助招标人开展用地、环评、水保、无线电频率使用许可等相关审批手续办理。</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b/>
              </w:rPr>
              <w:t>相关要求及依据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1）法律法规</w:t>
            </w:r>
          </w:p>
          <w:p>
            <w:pPr>
              <w:pStyle w:val="null3"/>
              <w:ind w:firstLine="480"/>
              <w:jc w:val="both"/>
            </w:pPr>
            <w:r>
              <w:rPr>
                <w:rFonts w:ascii="仿宋_GB2312" w:hAnsi="仿宋_GB2312" w:cs="仿宋_GB2312" w:eastAsia="仿宋_GB2312"/>
                <w:sz w:val="24"/>
              </w:rPr>
              <w:t>1）《中华人民共和国水法》（主席令第48号，2016年修订）；</w:t>
            </w:r>
          </w:p>
          <w:p>
            <w:pPr>
              <w:pStyle w:val="null3"/>
              <w:ind w:firstLine="480"/>
              <w:jc w:val="both"/>
            </w:pPr>
            <w:r>
              <w:rPr>
                <w:rFonts w:ascii="仿宋_GB2312" w:hAnsi="仿宋_GB2312" w:cs="仿宋_GB2312" w:eastAsia="仿宋_GB2312"/>
                <w:sz w:val="24"/>
              </w:rPr>
              <w:t>2）《中华人民共和国防洪法》（主席令第88号，2009年修订）。</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2）技术标准</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《水利测雨雷达系统建设与应用技术要求（试行）》</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《水利业务</w:t>
            </w:r>
            <w:r>
              <w:rPr>
                <w:rFonts w:ascii="仿宋_GB2312" w:hAnsi="仿宋_GB2312" w:cs="仿宋_GB2312" w:eastAsia="仿宋_GB2312"/>
                <w:sz w:val="24"/>
              </w:rPr>
              <w:t>“四预”基本技术要求（试行）》</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《中华人民共和国民用航空法》</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《建筑物防雷设计规范》（</w:t>
            </w:r>
            <w:r>
              <w:rPr>
                <w:rFonts w:ascii="仿宋_GB2312" w:hAnsi="仿宋_GB2312" w:cs="仿宋_GB2312" w:eastAsia="仿宋_GB2312"/>
                <w:sz w:val="24"/>
              </w:rPr>
              <w:t>GB 50057-2010）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《电磁辐射防护规定》（</w:t>
            </w:r>
            <w:r>
              <w:rPr>
                <w:rFonts w:ascii="仿宋_GB2312" w:hAnsi="仿宋_GB2312" w:cs="仿宋_GB2312" w:eastAsia="仿宋_GB2312"/>
                <w:sz w:val="24"/>
              </w:rPr>
              <w:t>GB 8702-1988）</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6）</w:t>
            </w:r>
            <w:r>
              <w:rPr>
                <w:rFonts w:ascii="仿宋_GB2312" w:hAnsi="仿宋_GB2312" w:cs="仿宋_GB2312" w:eastAsia="仿宋_GB2312"/>
                <w:sz w:val="24"/>
              </w:rPr>
              <w:t>《作业场所微波辐射卫生标准》（</w:t>
            </w:r>
            <w:r>
              <w:rPr>
                <w:rFonts w:ascii="仿宋_GB2312" w:hAnsi="仿宋_GB2312" w:cs="仿宋_GB2312" w:eastAsia="仿宋_GB2312"/>
                <w:sz w:val="24"/>
              </w:rPr>
              <w:t>GB 10436-89）</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《地面雷达结构设计通用要求》（</w:t>
            </w:r>
            <w:r>
              <w:rPr>
                <w:rFonts w:ascii="仿宋_GB2312" w:hAnsi="仿宋_GB2312" w:cs="仿宋_GB2312" w:eastAsia="仿宋_GB2312"/>
                <w:sz w:val="24"/>
              </w:rPr>
              <w:t>SJ 20630-1997）</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《装备可靠性工作通用要求》（</w:t>
            </w:r>
            <w:r>
              <w:rPr>
                <w:rFonts w:ascii="仿宋_GB2312" w:hAnsi="仿宋_GB2312" w:cs="仿宋_GB2312" w:eastAsia="仿宋_GB2312"/>
                <w:sz w:val="24"/>
              </w:rPr>
              <w:t>GJB 450A-2004）</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《数字孪生流域共建共享管理办法（试行）》（水信息〔</w:t>
            </w:r>
            <w:r>
              <w:rPr>
                <w:rFonts w:ascii="仿宋_GB2312" w:hAnsi="仿宋_GB2312" w:cs="仿宋_GB2312" w:eastAsia="仿宋_GB2312"/>
                <w:sz w:val="24"/>
              </w:rPr>
              <w:t>2022〕146号）</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《数字孪生流域建设技术大纲（试行）》（水信息〔</w:t>
            </w:r>
            <w:r>
              <w:rPr>
                <w:rFonts w:ascii="仿宋_GB2312" w:hAnsi="仿宋_GB2312" w:cs="仿宋_GB2312" w:eastAsia="仿宋_GB2312"/>
                <w:sz w:val="24"/>
              </w:rPr>
              <w:t>2022〕147号）</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11）</w:t>
            </w:r>
            <w:r>
              <w:rPr>
                <w:rFonts w:ascii="仿宋_GB2312" w:hAnsi="仿宋_GB2312" w:cs="仿宋_GB2312" w:eastAsia="仿宋_GB2312"/>
                <w:sz w:val="24"/>
              </w:rPr>
              <w:t>《数字孪生水利工程建设技术导则（试行）》（水信息〔</w:t>
            </w:r>
            <w:r>
              <w:rPr>
                <w:rFonts w:ascii="仿宋_GB2312" w:hAnsi="仿宋_GB2312" w:cs="仿宋_GB2312" w:eastAsia="仿宋_GB2312"/>
                <w:sz w:val="24"/>
              </w:rPr>
              <w:t>2022〕148号）</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《数字孪生水网建设技术导则（试行）》（水信息〔</w:t>
            </w:r>
            <w:r>
              <w:rPr>
                <w:rFonts w:ascii="仿宋_GB2312" w:hAnsi="仿宋_GB2312" w:cs="仿宋_GB2312" w:eastAsia="仿宋_GB2312"/>
                <w:sz w:val="24"/>
              </w:rPr>
              <w:t>2022〕397号）10）</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《水利部办公厅关于印发《水利工程建设项目法人工作手册（</w:t>
            </w:r>
            <w:r>
              <w:rPr>
                <w:rFonts w:ascii="仿宋_GB2312" w:hAnsi="仿宋_GB2312" w:cs="仿宋_GB2312" w:eastAsia="仿宋_GB2312"/>
                <w:sz w:val="24"/>
              </w:rPr>
              <w:t>2023版）》的通知》（办建设函〔2023〕1292号）；</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水利测雨雷达</w:t>
            </w:r>
            <w:r>
              <w:rPr>
                <w:rFonts w:ascii="仿宋_GB2312" w:hAnsi="仿宋_GB2312" w:cs="仿宋_GB2312" w:eastAsia="仿宋_GB2312"/>
                <w:sz w:val="24"/>
              </w:rPr>
              <w:t>项目相关的最新标准、技术要求等。</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实施目标</w:t>
            </w:r>
          </w:p>
          <w:p>
            <w:pPr>
              <w:pStyle w:val="null3"/>
              <w:ind w:firstLine="480"/>
              <w:jc w:val="both"/>
            </w:pPr>
            <w:r>
              <w:rPr>
                <w:rFonts w:ascii="仿宋_GB2312" w:hAnsi="仿宋_GB2312" w:cs="仿宋_GB2312" w:eastAsia="仿宋_GB2312"/>
                <w:sz w:val="24"/>
              </w:rPr>
              <w:t>依据《水利测雨雷达系统建设与应用技术要求（试行）》的要求，在北洛河及延河上游流域重点降雨区域建设</w:t>
            </w:r>
            <w:r>
              <w:rPr>
                <w:rFonts w:ascii="仿宋_GB2312" w:hAnsi="仿宋_GB2312" w:cs="仿宋_GB2312" w:eastAsia="仿宋_GB2312"/>
                <w:sz w:val="24"/>
              </w:rPr>
              <w:t>6部水利测雨雷达，构建一张覆盖探测区域内0-2公里近地层空域的水利雷达面雨量监测和预报预警系统，发挥水利测雨雷达观测精度高、扫描速度快、探测覆盖盲区少等综合优势，为突发性山洪灾害、城市洪涝以及中小流域生态降水监测提供定量及时的区域面雨量信息，全面提升流域水旱灾害监测预报预警能力，为防汛抗旱减灾水资源管理和保护、水生态文明建设和经济社会发展提供可靠支撑。</w:t>
            </w:r>
          </w:p>
          <w:p>
            <w:pPr>
              <w:pStyle w:val="null3"/>
              <w:ind w:firstLine="482"/>
              <w:jc w:val="both"/>
            </w:pPr>
            <w:r>
              <w:rPr>
                <w:rFonts w:ascii="仿宋_GB2312" w:hAnsi="仿宋_GB2312" w:cs="仿宋_GB2312" w:eastAsia="仿宋_GB2312"/>
                <w:sz w:val="24"/>
                <w:b/>
              </w:rPr>
              <w:t>五、</w:t>
            </w:r>
            <w:r>
              <w:rPr>
                <w:rFonts w:ascii="仿宋_GB2312" w:hAnsi="仿宋_GB2312" w:cs="仿宋_GB2312" w:eastAsia="仿宋_GB2312"/>
                <w:sz w:val="24"/>
                <w:b/>
              </w:rPr>
              <w:t>主要成果</w:t>
            </w:r>
          </w:p>
          <w:p>
            <w:pPr>
              <w:pStyle w:val="null3"/>
            </w:pPr>
            <w:r>
              <w:rPr>
                <w:rFonts w:ascii="仿宋_GB2312" w:hAnsi="仿宋_GB2312" w:cs="仿宋_GB2312" w:eastAsia="仿宋_GB2312"/>
                <w:sz w:val="24"/>
              </w:rPr>
              <w:t xml:space="preserve">  形成</w:t>
            </w:r>
            <w:r>
              <w:rPr>
                <w:rFonts w:ascii="仿宋_GB2312" w:hAnsi="仿宋_GB2312" w:cs="仿宋_GB2312" w:eastAsia="仿宋_GB2312"/>
                <w:sz w:val="24"/>
              </w:rPr>
              <w:t>测雨雷达建设</w:t>
            </w:r>
            <w:r>
              <w:rPr>
                <w:rFonts w:ascii="仿宋_GB2312" w:hAnsi="仿宋_GB2312" w:cs="仿宋_GB2312" w:eastAsia="仿宋_GB2312"/>
                <w:sz w:val="24"/>
              </w:rPr>
              <w:t>各类</w:t>
            </w:r>
            <w:r>
              <w:rPr>
                <w:rFonts w:ascii="仿宋_GB2312" w:hAnsi="仿宋_GB2312" w:cs="仿宋_GB2312" w:eastAsia="仿宋_GB2312"/>
                <w:sz w:val="24"/>
              </w:rPr>
              <w:t>勘察</w:t>
            </w:r>
            <w:r>
              <w:rPr>
                <w:rFonts w:ascii="仿宋_GB2312" w:hAnsi="仿宋_GB2312" w:cs="仿宋_GB2312" w:eastAsia="仿宋_GB2312"/>
                <w:sz w:val="24"/>
              </w:rPr>
              <w:t>报告、</w:t>
            </w:r>
            <w:r>
              <w:rPr>
                <w:rFonts w:ascii="仿宋_GB2312" w:hAnsi="仿宋_GB2312" w:cs="仿宋_GB2312" w:eastAsia="仿宋_GB2312"/>
                <w:sz w:val="24"/>
              </w:rPr>
              <w:t>施工</w:t>
            </w:r>
            <w:r>
              <w:rPr>
                <w:rFonts w:ascii="仿宋_GB2312" w:hAnsi="仿宋_GB2312" w:cs="仿宋_GB2312" w:eastAsia="仿宋_GB2312"/>
                <w:sz w:val="24"/>
              </w:rPr>
              <w:t>图、</w:t>
            </w:r>
            <w:r>
              <w:rPr>
                <w:rFonts w:ascii="仿宋_GB2312" w:hAnsi="仿宋_GB2312" w:cs="仿宋_GB2312" w:eastAsia="仿宋_GB2312"/>
                <w:sz w:val="24"/>
              </w:rPr>
              <w:t>专题报告</w:t>
            </w:r>
            <w:r>
              <w:rPr>
                <w:rFonts w:ascii="仿宋_GB2312" w:hAnsi="仿宋_GB2312" w:cs="仿宋_GB2312" w:eastAsia="仿宋_GB2312"/>
                <w:sz w:val="24"/>
              </w:rPr>
              <w:t>、</w:t>
            </w:r>
            <w:r>
              <w:rPr>
                <w:rFonts w:ascii="仿宋_GB2312" w:hAnsi="仿宋_GB2312" w:cs="仿宋_GB2312" w:eastAsia="仿宋_GB2312"/>
                <w:sz w:val="24"/>
              </w:rPr>
              <w:t>工程量清单</w:t>
            </w:r>
            <w:r>
              <w:rPr>
                <w:rFonts w:ascii="仿宋_GB2312" w:hAnsi="仿宋_GB2312" w:cs="仿宋_GB2312" w:eastAsia="仿宋_GB2312"/>
                <w:sz w:val="24"/>
              </w:rPr>
              <w:t>及</w:t>
            </w:r>
            <w:r>
              <w:rPr>
                <w:rFonts w:ascii="仿宋_GB2312" w:hAnsi="仿宋_GB2312" w:cs="仿宋_GB2312" w:eastAsia="仿宋_GB2312"/>
                <w:sz w:val="24"/>
              </w:rPr>
              <w:t>后续设计交底服务</w:t>
            </w:r>
            <w:r>
              <w:rPr>
                <w:rFonts w:ascii="仿宋_GB2312" w:hAnsi="仿宋_GB2312" w:cs="仿宋_GB2312" w:eastAsia="仿宋_GB2312"/>
                <w:sz w:val="24"/>
              </w:rPr>
              <w:t>，</w:t>
            </w:r>
            <w:r>
              <w:rPr>
                <w:rFonts w:ascii="仿宋_GB2312" w:hAnsi="仿宋_GB2312" w:cs="仿宋_GB2312" w:eastAsia="仿宋_GB2312"/>
                <w:sz w:val="24"/>
              </w:rPr>
              <w:t>协助招标人开展用地、环评、水保、无线电频率使用许可等相关审批手续办理。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允许合同分包。依据《中华人民共和国政府采购法》第四十八条相关规定，本次采购内容部分非主体、非关键性内容，例如环评、水保、林评等工作允许外委分包。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自合同签订之日起30日历天内出具设计成果，服务期至项目建设完成结束。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满足国家相关技术规范及有关政策的要求，通过采购人组织的验收。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合同签订备案后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出具设计成果并经采购人确认后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项目竣工验收后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1、按《中华人民共和国民法典》以及相关法律的条款执行。 2、乙方履约延误 2-1、如乙方事先未征得甲方同意并得到甲方的谅解而单方面延迟执行合同，每延误一天的赔偿费按合同金额的百分之零点五（0.5%）计收。误期赔偿费的最高限额为合同价格的百分之五（5%）。一旦达到误期赔偿费的最高限额，甲方可终止合同。 2-2、在履行合同过程中，如果乙方遇到可能妨碍按时提供产品服务的情况，应及 时以书面形式将拖延的事实， 可能拖延的期限和理由通知甲方。甲方在收到乙方通知后， 应尽快对情况进行评价， 并确定是否通过修改合同， 酌情延长交货时间或对乙方加收误 期赔偿金。每延误一周的赔偿费按合同金额的百分之零点五（0.5%）计收， 直至提供服 务为止。误期赔偿费的最高限额为合同价格的百分之五（5%）。一旦达到误期赔偿费的最高限额，甲方可终止合同。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为顺利推进政府采购电子化交易平台试点应用工作，供应商需要在线提交所有通过电子化交易平台实施的政府采购项目的响应文件。成交供应商成交后线下提交响应文件正本一份、副本两份，文件无须密封。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供应商具有有效的工程设计综合甲级或工程设计水利行业乙级及以上资质或工程设计水利行业（水文设施）专业乙级及以上资质。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具有水利相关专业高级（含高级）以上工程师证书。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法定代表人授权委托书及授权代表身份证（法定代表人直接参加磋商的须提供法定代表人证明及其身份证），非法人单位参照执行。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供应商须通过“信用中国” 网站及中国政府采购网查询相关主体信用记录（查询日期为从招标文件发售之日起至投标截止日前），以网页截图加盖供应商公章为准（对列入失信被执行人、重大税收违法案件当事人名单、政府采购严重违法失信行为记录名单及其他不符合《 中华人民共和国政府采购法》第二十二条规定条件的采购代理机构将拒绝其参与政府采购活动）。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服务内容及服务邀请应答表.docx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报价唯一，且不超过最高限价。</w:t>
            </w:r>
          </w:p>
        </w:tc>
        <w:tc>
          <w:tcPr>
            <w:tcW w:type="dxa" w:w="1661"/>
          </w:tcPr>
          <w:p>
            <w:pPr>
              <w:pStyle w:val="null3"/>
            </w:pPr>
            <w:r>
              <w:rPr>
                <w:rFonts w:ascii="仿宋_GB2312" w:hAnsi="仿宋_GB2312" w:cs="仿宋_GB2312" w:eastAsia="仿宋_GB2312"/>
              </w:rPr>
              <w:t>响应文件封面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对建设项目的背景、建设条件、总体布局及勘察设计的重点有充分的了解和认识。依据分析详细、完整、清晰得1-10分，无响应说明的不计分。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本项目的具体实施方案，包含工作方法、设计思路与设计理念、设计所投入的工器具、进度安排、成果交付等，依据实施方案完整、详细、清晰程度赋分1-20分，无响应说明的不计分。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进度质量保证措施</w:t>
            </w:r>
          </w:p>
        </w:tc>
        <w:tc>
          <w:tcPr>
            <w:tcW w:type="dxa" w:w="2492"/>
          </w:tcPr>
          <w:p>
            <w:pPr>
              <w:pStyle w:val="null3"/>
            </w:pPr>
            <w:r>
              <w:rPr>
                <w:rFonts w:ascii="仿宋_GB2312" w:hAnsi="仿宋_GB2312" w:cs="仿宋_GB2312" w:eastAsia="仿宋_GB2312"/>
              </w:rPr>
              <w:t>对该项目设计各阶段的工作量分析， 预计全面， 无遗漏， 关键线路清晰、准确、完整，计划编制合理、可行合理布置各阶段 的工作任务，关键节点的控制措施有力、合理、可行，依据上内容齐全，完整情况赋分 1-15分， 无响应说明的不计分；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后续服务的安排及保证</w:t>
            </w:r>
          </w:p>
        </w:tc>
        <w:tc>
          <w:tcPr>
            <w:tcW w:type="dxa" w:w="2492"/>
          </w:tcPr>
          <w:p>
            <w:pPr>
              <w:pStyle w:val="null3"/>
            </w:pPr>
            <w:r>
              <w:rPr>
                <w:rFonts w:ascii="仿宋_GB2312" w:hAnsi="仿宋_GB2312" w:cs="仿宋_GB2312" w:eastAsia="仿宋_GB2312"/>
              </w:rPr>
              <w:t>根据各供应商是否提出了具体服务安排及保证措施、承诺明确、安排在工程施工过程中配合工程实施所派出 的设计工程师的人员（职称、专业、数量）等方面综合评审赋分1-15分，无响应说明的不计分。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项目人员配备（除项目负责人外）</w:t>
            </w:r>
          </w:p>
        </w:tc>
        <w:tc>
          <w:tcPr>
            <w:tcW w:type="dxa" w:w="2492"/>
          </w:tcPr>
          <w:p>
            <w:pPr>
              <w:pStyle w:val="null3"/>
            </w:pPr>
            <w:r>
              <w:rPr>
                <w:rFonts w:ascii="仿宋_GB2312" w:hAnsi="仿宋_GB2312" w:cs="仿宋_GB2312" w:eastAsia="仿宋_GB2312"/>
              </w:rPr>
              <w:t>（1）数量：配备人员5人以上得5分，3人（含）至5人（含）得3分，3人以下得1分。 （2）专业：配备人员专业满足建筑、结构、造价、电气、水利水电，得10分，少一专业扣2分。 （3）职称：配备人员每有一个高级及以上职称得1分，最高得5分。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 2023 年 01 月 01 日至文件接收截止时间水利行业方面业绩：提供一项得2分，最多得10分（业绩证明材料为合同或中标通知书，时间以合同或中标通知书时间为准）。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评审基准价：满足磋商文件要求且磋商报价最低的报价为磋商基准价。 得分：报价得分=(评审基准价 ／最终报价)×10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