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版本号：陕融招字-2026-030120260316001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校情决策分析系统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陕融招字-2026-0301</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陕西思迈融工程建设项目管理有限公司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陕西思迈融工程建设项目管理有限公司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校情决策分析系统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陕融招字-2026-0301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校情决策分析系统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本项目旨在破解学校学科建设、科研管理等核心领域跨部门数据共享不畅、协同分析能力不足的难题，打造 “数据驱动、可视直达、闭环提升” 的校级分析平台。项目核心建设内容包括三方面：一是搭建数据可视化平台，对接现有数据管理平台，支持数据集成、权限控制及多终端访问；二是围绕学科建设、人事绩效、科研（纵 / 横向）、资产使用等5大主题，定制校级总览大屏与部门级驾驶舱，实现指标展示、分析预警等功能；三是开展场景调研与指标梳理，完成数据补采、清洗及标准化模型建设，沉淀可复用数据。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具有财务审计资质单位出具的2024年度财务报告（成立时间至开标时间不足一年的可提供成立后任意时段的资产负债表）或开标前六个月内其基本账户银行出具的资信证明（附开户许可证或基本存款账户信息）或政府采购信用担保机构出具的担保函</w:t>
      </w:r>
    </w:p>
    <w:p>
      <w:pPr>
        <w:pStyle w:val="null3"/>
      </w:pPr>
      <w:r>
        <w:rPr>
          <w:rFonts w:ascii="仿宋_GB2312" w:hAnsi="仿宋_GB2312" w:cs="仿宋_GB2312" w:eastAsia="仿宋_GB2312"/>
        </w:rPr>
        <w:t>3、税收缴纳证明：提供递交响应文件截止之日前一年内已缴纳的至少一个月的纳税证明或完税证明，依法免税的单位应提供相关证明材料</w:t>
      </w:r>
    </w:p>
    <w:p>
      <w:pPr>
        <w:pStyle w:val="null3"/>
      </w:pPr>
      <w:r>
        <w:rPr>
          <w:rFonts w:ascii="仿宋_GB2312" w:hAnsi="仿宋_GB2312" w:cs="仿宋_GB2312" w:eastAsia="仿宋_GB2312"/>
        </w:rPr>
        <w:t>4、社会保障资金缴纳证明：提供递交响应文件截止之日前一年内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5、书面声明：提供参加政府采购活动前三年内在经营活动中没有重大违法记录的书面声明</w:t>
      </w:r>
    </w:p>
    <w:p>
      <w:pPr>
        <w:pStyle w:val="null3"/>
      </w:pPr>
      <w:r>
        <w:rPr>
          <w:rFonts w:ascii="仿宋_GB2312" w:hAnsi="仿宋_GB2312" w:cs="仿宋_GB2312" w:eastAsia="仿宋_GB2312"/>
        </w:rPr>
        <w:t>6、承诺书：提供具有履行本合同所必需的设备和专业技术能力的说明及承诺</w:t>
      </w:r>
    </w:p>
    <w:p>
      <w:pPr>
        <w:pStyle w:val="null3"/>
      </w:pPr>
      <w:r>
        <w:rPr>
          <w:rFonts w:ascii="仿宋_GB2312" w:hAnsi="仿宋_GB2312" w:cs="仿宋_GB2312" w:eastAsia="仿宋_GB2312"/>
        </w:rPr>
        <w:t>7、法定代表人身份证明书或法定代表人授权委托书：提供法定代表人/负责人授权书（附法定代表人/负责人、被授权人身份证复印件及被授权人近三个月社保缴纳证明或劳动合同。）（法定代表人/负责人直接参加投标，须提供法定代表人/负责人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陕西思迈融工程建设项目管理有限公司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陕西省西安市雁塔区南二环东段二环以南凯森盛世1号B座2606号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高雪娇、贾轩博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029-82295130、15002974213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开户名称：陕西思迈融工程建设项目管理有限公司</w:t>
            </w:r>
          </w:p>
          <w:p>
            <w:pPr>
              <w:pStyle w:val="null3"/>
            </w:pPr>
            <w:r>
              <w:rPr>
                <w:rFonts w:ascii="仿宋_GB2312" w:hAnsi="仿宋_GB2312" w:cs="仿宋_GB2312" w:eastAsia="仿宋_GB2312"/>
              </w:rPr>
              <w:t>开户银行：招商银行股份有限公司西安西影路支行</w:t>
            </w:r>
          </w:p>
          <w:p>
            <w:pPr>
              <w:pStyle w:val="null3"/>
            </w:pPr>
            <w:r>
              <w:rPr>
                <w:rFonts w:ascii="仿宋_GB2312" w:hAnsi="仿宋_GB2312" w:cs="仿宋_GB2312" w:eastAsia="仿宋_GB2312"/>
              </w:rPr>
              <w:t>银行账号：1299 0860 5410 801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说明：1、项目服务期结束后无违约情形，缴纳的履约保证金无息退还。交纳形式为银行转账等非现金形式，供应商以银行、保险公司出具保函形式提交履约保证金的，采购单位不得拒收。 2、收款账户 收款单位：西安理工大学 开户银行：中国银行西安金花南路支行 银行账号：102891574567</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代理服务费收费标准：代理项目金额80万元以下收取定额3000元；代理项目金额80万以上-400万以下，按照《招标代理服务收费管理暂行办法》（计价格[2002]1980 号）及（发改办价格[2011]534号）规定的计费标准*55%计取。中标单位在领取中标通知书前，须向采购代理机构一次性支付招标代理服务费；代理服务费以转账、电汇或现金等形式交纳。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陕西思迈融工程建设项目管理有限公司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陕西思迈融工程建设项目管理有限公司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陕西思迈融工程建设项目管理有限公司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符合招标文件及采购人要求，符合合同约定。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联系人：高雪娇、贾轩博</w:t>
      </w:r>
    </w:p>
    <w:p>
      <w:pPr>
        <w:pStyle w:val="null3"/>
      </w:pPr>
      <w:r>
        <w:rPr>
          <w:rFonts w:ascii="仿宋_GB2312" w:hAnsi="仿宋_GB2312" w:cs="仿宋_GB2312" w:eastAsia="仿宋_GB2312"/>
        </w:rPr>
        <w:t>联系电话：029-82295130</w:t>
      </w:r>
    </w:p>
    <w:p>
      <w:pPr>
        <w:pStyle w:val="null3"/>
      </w:pPr>
      <w:r>
        <w:rPr>
          <w:rFonts w:ascii="仿宋_GB2312" w:hAnsi="仿宋_GB2312" w:cs="仿宋_GB2312" w:eastAsia="仿宋_GB2312"/>
        </w:rPr>
        <w:t>地址：陕西省西安市雁塔区南二环东段二环以南凯森盛世1号B座2606室</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本项目旨在破解学校学科建设、科研管理等核心领域跨部门数据共享不畅、协同分析能力不足的难题，打造 “数据驱动、可视直达、闭环提升” 的校级分析平台。项目核心建设内容包括三方面：一是搭建数据可视化平台，对接现有数据管理平台，支持数据集成、权限控制及多终端访问；二是围绕学科建设、人事绩效、科研（纵 / 横向）、资产使用等 5 大主题，定制校级总览大屏与部门级驾驶舱，实现指标展示、分析预警等功能；三是开展场景调研与指标梳理，完成数据补采、清洗及标准化模型建设，沉淀可复用数据。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校情决策分析系统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标的名称：校情决策分析系统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项目建设内容：</w:t>
            </w:r>
          </w:p>
          <w:p>
            <w:pPr>
              <w:pStyle w:val="null3"/>
              <w:jc w:val="both"/>
            </w:pPr>
            <w:r>
              <w:rPr>
                <w:rFonts w:ascii="仿宋_GB2312" w:hAnsi="仿宋_GB2312" w:cs="仿宋_GB2312" w:eastAsia="仿宋_GB2312"/>
                <w:sz w:val="22"/>
                <w:b/>
              </w:rPr>
              <w:t>（</w:t>
            </w:r>
            <w:r>
              <w:rPr>
                <w:rFonts w:ascii="仿宋_GB2312" w:hAnsi="仿宋_GB2312" w:cs="仿宋_GB2312" w:eastAsia="仿宋_GB2312"/>
                <w:sz w:val="22"/>
                <w:b/>
              </w:rPr>
              <w:t>1）数据可视化平台 1项</w:t>
            </w:r>
          </w:p>
          <w:p>
            <w:pPr>
              <w:pStyle w:val="null3"/>
              <w:jc w:val="both"/>
            </w:pPr>
            <w:r>
              <w:rPr>
                <w:rFonts w:ascii="仿宋_GB2312" w:hAnsi="仿宋_GB2312" w:cs="仿宋_GB2312" w:eastAsia="仿宋_GB2312"/>
                <w:sz w:val="22"/>
                <w:b/>
              </w:rPr>
              <w:t>（</w:t>
            </w:r>
            <w:r>
              <w:rPr>
                <w:rFonts w:ascii="仿宋_GB2312" w:hAnsi="仿宋_GB2312" w:cs="仿宋_GB2312" w:eastAsia="仿宋_GB2312"/>
                <w:sz w:val="22"/>
                <w:b/>
              </w:rPr>
              <w:t>2）</w:t>
            </w:r>
            <w:r>
              <w:rPr>
                <w:rFonts w:ascii="仿宋_GB2312" w:hAnsi="仿宋_GB2312" w:cs="仿宋_GB2312" w:eastAsia="仿宋_GB2312"/>
                <w:sz w:val="22"/>
                <w:b/>
              </w:rPr>
              <w:t>校情决策分析主题展示</w:t>
            </w:r>
            <w:r>
              <w:rPr>
                <w:rFonts w:ascii="仿宋_GB2312" w:hAnsi="仿宋_GB2312" w:cs="仿宋_GB2312" w:eastAsia="仿宋_GB2312"/>
                <w:sz w:val="22"/>
                <w:b/>
              </w:rPr>
              <w:t xml:space="preserve">  </w:t>
            </w:r>
            <w:r>
              <w:rPr>
                <w:rFonts w:ascii="仿宋_GB2312" w:hAnsi="仿宋_GB2312" w:cs="仿宋_GB2312" w:eastAsia="仿宋_GB2312"/>
                <w:sz w:val="22"/>
                <w:b/>
              </w:rPr>
              <w:t>1项</w:t>
            </w:r>
          </w:p>
          <w:p>
            <w:pPr>
              <w:pStyle w:val="null3"/>
            </w:pPr>
            <w:r>
              <w:rPr>
                <w:rFonts w:ascii="仿宋_GB2312" w:hAnsi="仿宋_GB2312" w:cs="仿宋_GB2312" w:eastAsia="仿宋_GB2312"/>
                <w:sz w:val="22"/>
                <w:b/>
              </w:rPr>
              <w:t>（</w:t>
            </w:r>
            <w:r>
              <w:rPr>
                <w:rFonts w:ascii="仿宋_GB2312" w:hAnsi="仿宋_GB2312" w:cs="仿宋_GB2312" w:eastAsia="仿宋_GB2312"/>
                <w:sz w:val="22"/>
                <w:b/>
              </w:rPr>
              <w:t>3）</w:t>
            </w:r>
            <w:r>
              <w:rPr>
                <w:rFonts w:ascii="仿宋_GB2312" w:hAnsi="仿宋_GB2312" w:cs="仿宋_GB2312" w:eastAsia="仿宋_GB2312"/>
                <w:sz w:val="22"/>
                <w:b/>
              </w:rPr>
              <w:t>数据补充及对接集成</w:t>
            </w:r>
            <w:r>
              <w:rPr>
                <w:rFonts w:ascii="仿宋_GB2312" w:hAnsi="仿宋_GB2312" w:cs="仿宋_GB2312" w:eastAsia="仿宋_GB2312"/>
                <w:sz w:val="22"/>
                <w:b/>
              </w:rPr>
              <w:t xml:space="preserve"> 1项</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技术要求：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系统采用</w:t>
            </w:r>
            <w:r>
              <w:rPr>
                <w:rFonts w:ascii="仿宋_GB2312" w:hAnsi="仿宋_GB2312" w:cs="仿宋_GB2312" w:eastAsia="仿宋_GB2312"/>
                <w:sz w:val="21"/>
              </w:rPr>
              <w:t>B/S 架构，支持在高安全性与国产操作系统环境稳定运行，优先支持容器化与编排平台对接，具备横向扩展与高可用部署能力</w:t>
            </w:r>
          </w:p>
          <w:p>
            <w:pPr>
              <w:pStyle w:val="null3"/>
            </w:pPr>
            <w:r>
              <w:rPr>
                <w:rFonts w:ascii="仿宋_GB2312" w:hAnsi="仿宋_GB2312" w:cs="仿宋_GB2312" w:eastAsia="仿宋_GB2312"/>
                <w:sz w:val="21"/>
              </w:rPr>
              <w:t>(2)</w:t>
            </w:r>
            <w:r>
              <w:rPr>
                <w:rFonts w:ascii="仿宋_GB2312" w:hAnsi="仿宋_GB2312" w:cs="仿宋_GB2312" w:eastAsia="仿宋_GB2312"/>
                <w:sz w:val="21"/>
              </w:rPr>
              <w:t>技术路线遵循开放标准与主流生态，采用组件化／服务化设计，保证可维护、可扩展与可迁移。</w:t>
            </w:r>
          </w:p>
          <w:p>
            <w:pPr>
              <w:pStyle w:val="null3"/>
            </w:pPr>
            <w:r>
              <w:rPr>
                <w:rFonts w:ascii="仿宋_GB2312" w:hAnsi="仿宋_GB2312" w:cs="仿宋_GB2312" w:eastAsia="仿宋_GB2312"/>
                <w:sz w:val="21"/>
              </w:rPr>
              <w:t>(3)</w:t>
            </w:r>
            <w:r>
              <w:rPr>
                <w:rFonts w:ascii="仿宋_GB2312" w:hAnsi="仿宋_GB2312" w:cs="仿宋_GB2312" w:eastAsia="仿宋_GB2312"/>
                <w:sz w:val="21"/>
              </w:rPr>
              <w:t>应用分层清晰，至少包含接入层、服务层与数据层；支持微服务拆分、无状态化设计与灰度发布。</w:t>
            </w:r>
          </w:p>
          <w:p>
            <w:pPr>
              <w:pStyle w:val="null3"/>
            </w:pPr>
            <w:r>
              <w:rPr>
                <w:rFonts w:ascii="仿宋_GB2312" w:hAnsi="仿宋_GB2312" w:cs="仿宋_GB2312" w:eastAsia="仿宋_GB2312"/>
                <w:sz w:val="21"/>
              </w:rPr>
              <w:t>(4)</w:t>
            </w:r>
            <w:r>
              <w:rPr>
                <w:rFonts w:ascii="仿宋_GB2312" w:hAnsi="仿宋_GB2312" w:cs="仿宋_GB2312" w:eastAsia="仿宋_GB2312"/>
                <w:sz w:val="21"/>
              </w:rPr>
              <w:t>数据访问通过标准接口实现与具体数据库解耦，至少兼容主流关系型数据库。</w:t>
            </w:r>
          </w:p>
          <w:p>
            <w:pPr>
              <w:pStyle w:val="null3"/>
            </w:pPr>
            <w:r>
              <w:rPr>
                <w:rFonts w:ascii="仿宋_GB2312" w:hAnsi="仿宋_GB2312" w:cs="仿宋_GB2312" w:eastAsia="仿宋_GB2312"/>
                <w:sz w:val="21"/>
              </w:rPr>
              <w:t>(5)</w:t>
            </w:r>
            <w:r>
              <w:rPr>
                <w:rFonts w:ascii="仿宋_GB2312" w:hAnsi="仿宋_GB2312" w:cs="仿宋_GB2312" w:eastAsia="仿宋_GB2312"/>
                <w:sz w:val="21"/>
              </w:rPr>
              <w:t>提供开放接口能力，配套网关、鉴权、限流、熔断、审计等机制，附带接口规范、示例与联调用例；支持第三方系统安全接入测评。</w:t>
            </w:r>
          </w:p>
          <w:p>
            <w:pPr>
              <w:pStyle w:val="null3"/>
            </w:pPr>
            <w:r>
              <w:rPr>
                <w:rFonts w:ascii="仿宋_GB2312" w:hAnsi="仿宋_GB2312" w:cs="仿宋_GB2312" w:eastAsia="仿宋_GB2312"/>
                <w:sz w:val="21"/>
              </w:rPr>
              <w:t>(6)</w:t>
            </w:r>
            <w:r>
              <w:rPr>
                <w:rFonts w:ascii="仿宋_GB2312" w:hAnsi="仿宋_GB2312" w:cs="仿宋_GB2312" w:eastAsia="仿宋_GB2312"/>
                <w:sz w:val="21"/>
              </w:rPr>
              <w:t>与学校统一身份认证、数据治理与交换平台、一网通办等实现认证、数据与应用集成。</w:t>
            </w:r>
          </w:p>
          <w:p>
            <w:pPr>
              <w:pStyle w:val="null3"/>
            </w:pPr>
            <w:r>
              <w:rPr>
                <w:rFonts w:ascii="仿宋_GB2312" w:hAnsi="仿宋_GB2312" w:cs="仿宋_GB2312" w:eastAsia="仿宋_GB2312"/>
                <w:sz w:val="21"/>
              </w:rPr>
              <w:t>(7)</w:t>
            </w:r>
            <w:r>
              <w:rPr>
                <w:rFonts w:ascii="仿宋_GB2312" w:hAnsi="仿宋_GB2312" w:cs="仿宋_GB2312" w:eastAsia="仿宋_GB2312"/>
                <w:sz w:val="21"/>
              </w:rPr>
              <w:t>支持负载均衡，支持动态监测负载状况，自动对可用资源进行并发检测，调整和分配等功能。</w:t>
            </w:r>
          </w:p>
          <w:p>
            <w:pPr>
              <w:pStyle w:val="null3"/>
            </w:pPr>
            <w:r>
              <w:rPr>
                <w:rFonts w:ascii="仿宋_GB2312" w:hAnsi="仿宋_GB2312" w:cs="仿宋_GB2312" w:eastAsia="仿宋_GB2312"/>
                <w:sz w:val="21"/>
              </w:rPr>
              <w:t>(8)</w:t>
            </w:r>
            <w:r>
              <w:rPr>
                <w:rFonts w:ascii="仿宋_GB2312" w:hAnsi="仿宋_GB2312" w:cs="仿宋_GB2312" w:eastAsia="仿宋_GB2312"/>
                <w:sz w:val="21"/>
              </w:rPr>
              <w:t>若学校数据中心出现异常时，系统可以对接各业务系统，确保数据共享。</w:t>
            </w:r>
          </w:p>
          <w:p>
            <w:pPr>
              <w:pStyle w:val="null3"/>
            </w:pPr>
            <w:r>
              <w:rPr>
                <w:rFonts w:ascii="仿宋_GB2312" w:hAnsi="仿宋_GB2312" w:cs="仿宋_GB2312" w:eastAsia="仿宋_GB2312"/>
                <w:sz w:val="21"/>
              </w:rPr>
              <w:t>(9)</w:t>
            </w:r>
            <w:r>
              <w:rPr>
                <w:rFonts w:ascii="仿宋_GB2312" w:hAnsi="仿宋_GB2312" w:cs="仿宋_GB2312" w:eastAsia="仿宋_GB2312"/>
                <w:sz w:val="21"/>
              </w:rPr>
              <w:t>本次建设的学科建设、人事绩效、科研（纵</w:t>
            </w:r>
            <w:r>
              <w:rPr>
                <w:rFonts w:ascii="仿宋_GB2312" w:hAnsi="仿宋_GB2312" w:cs="仿宋_GB2312" w:eastAsia="仿宋_GB2312"/>
                <w:sz w:val="21"/>
              </w:rPr>
              <w:t>/横向）、资产情况数据决策大屏之间可以实现响应式布局，可以根据需要实现不同分析大屏之间的相互钻取和联动。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安全要求：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用户唯一标识、口令复杂度与有效期策略；支持多因子（可选）；具备登录失败处理、会话超时退出、异常登录告警与自动登出。</w:t>
            </w:r>
          </w:p>
          <w:p>
            <w:pPr>
              <w:pStyle w:val="null3"/>
            </w:pPr>
            <w:r>
              <w:rPr>
                <w:rFonts w:ascii="仿宋_GB2312" w:hAnsi="仿宋_GB2312" w:cs="仿宋_GB2312" w:eastAsia="仿宋_GB2312"/>
                <w:sz w:val="21"/>
              </w:rPr>
              <w:t>(2)</w:t>
            </w:r>
            <w:r>
              <w:rPr>
                <w:rFonts w:ascii="仿宋_GB2312" w:hAnsi="仿宋_GB2312" w:cs="仿宋_GB2312" w:eastAsia="仿宋_GB2312"/>
                <w:sz w:val="21"/>
              </w:rPr>
              <w:t>落实最小授权与职责分离，支持基于角色</w:t>
            </w:r>
            <w:r>
              <w:rPr>
                <w:rFonts w:ascii="仿宋_GB2312" w:hAnsi="仿宋_GB2312" w:cs="仿宋_GB2312" w:eastAsia="仿宋_GB2312"/>
                <w:sz w:val="21"/>
              </w:rPr>
              <w:t>/属性（RBAC/ABAC）的细粒度控制，覆盖接口、记录、字段级权限；权限策略集中配置并可审计追溯。</w:t>
            </w:r>
          </w:p>
          <w:p>
            <w:pPr>
              <w:pStyle w:val="null3"/>
            </w:pPr>
            <w:r>
              <w:rPr>
                <w:rFonts w:ascii="仿宋_GB2312" w:hAnsi="仿宋_GB2312" w:cs="仿宋_GB2312" w:eastAsia="仿宋_GB2312"/>
                <w:sz w:val="21"/>
              </w:rPr>
              <w:t>(3)</w:t>
            </w:r>
            <w:r>
              <w:rPr>
                <w:rFonts w:ascii="仿宋_GB2312" w:hAnsi="仿宋_GB2312" w:cs="仿宋_GB2312" w:eastAsia="仿宋_GB2312"/>
                <w:sz w:val="21"/>
              </w:rPr>
              <w:t>提供数据有效性检验功能，保证通过人机接口输入或通过通信接口输入的内容符合系统设定要求，可通过限制网络地址范围等方式对行管理的终端进行限制。</w:t>
            </w:r>
          </w:p>
          <w:p>
            <w:pPr>
              <w:pStyle w:val="null3"/>
            </w:pPr>
            <w:r>
              <w:rPr>
                <w:rFonts w:ascii="仿宋_GB2312" w:hAnsi="仿宋_GB2312" w:cs="仿宋_GB2312" w:eastAsia="仿宋_GB2312"/>
                <w:sz w:val="21"/>
              </w:rPr>
              <w:t>(4)</w:t>
            </w:r>
            <w:r>
              <w:rPr>
                <w:rFonts w:ascii="仿宋_GB2312" w:hAnsi="仿宋_GB2312" w:cs="仿宋_GB2312" w:eastAsia="仿宋_GB2312"/>
                <w:sz w:val="21"/>
              </w:rPr>
              <w:t>启用安全审计，对关键操作与安全事件留痕；日志具备防篡改与不可抵赖能力，集中存储与定期备份，留存不少于</w:t>
            </w:r>
            <w:r>
              <w:rPr>
                <w:rFonts w:ascii="仿宋_GB2312" w:hAnsi="仿宋_GB2312" w:cs="仿宋_GB2312" w:eastAsia="仿宋_GB2312"/>
                <w:sz w:val="21"/>
              </w:rPr>
              <w:t>180 天，并提供检索分析与审计报表。</w:t>
            </w:r>
          </w:p>
          <w:p>
            <w:pPr>
              <w:pStyle w:val="null3"/>
            </w:pPr>
            <w:r>
              <w:rPr>
                <w:rFonts w:ascii="仿宋_GB2312" w:hAnsi="仿宋_GB2312" w:cs="仿宋_GB2312" w:eastAsia="仿宋_GB2312"/>
                <w:sz w:val="21"/>
              </w:rPr>
              <w:t>(5)</w:t>
            </w:r>
            <w:r>
              <w:rPr>
                <w:rFonts w:ascii="仿宋_GB2312" w:hAnsi="仿宋_GB2312" w:cs="仿宋_GB2312" w:eastAsia="仿宋_GB2312"/>
                <w:sz w:val="21"/>
              </w:rPr>
              <w:t>数据安全存储：对授权收集到的敏感信息，采取去标识化、关键字段加密安全存储措施；</w:t>
            </w:r>
          </w:p>
          <w:p>
            <w:pPr>
              <w:pStyle w:val="null3"/>
            </w:pPr>
            <w:r>
              <w:rPr>
                <w:rFonts w:ascii="仿宋_GB2312" w:hAnsi="仿宋_GB2312" w:cs="仿宋_GB2312" w:eastAsia="仿宋_GB2312"/>
                <w:sz w:val="21"/>
              </w:rPr>
              <w:t>(6)</w:t>
            </w:r>
            <w:r>
              <w:rPr>
                <w:rFonts w:ascii="仿宋_GB2312" w:hAnsi="仿宋_GB2312" w:cs="仿宋_GB2312" w:eastAsia="仿宋_GB2312"/>
                <w:sz w:val="21"/>
              </w:rPr>
              <w:t>数据加密传输：在跨安全域或通过互联网传输敏感信息时，采用加密传输措施；</w:t>
            </w:r>
          </w:p>
          <w:p>
            <w:pPr>
              <w:pStyle w:val="null3"/>
            </w:pPr>
            <w:r>
              <w:rPr>
                <w:rFonts w:ascii="仿宋_GB2312" w:hAnsi="仿宋_GB2312" w:cs="仿宋_GB2312" w:eastAsia="仿宋_GB2312"/>
                <w:sz w:val="21"/>
              </w:rPr>
              <w:t>(7)</w:t>
            </w:r>
            <w:r>
              <w:rPr>
                <w:rFonts w:ascii="仿宋_GB2312" w:hAnsi="仿宋_GB2312" w:cs="仿宋_GB2312" w:eastAsia="仿宋_GB2312"/>
                <w:sz w:val="21"/>
              </w:rPr>
              <w:t>敏感信息处理：前端展示执行有效脱敏，避免伪脱敏</w:t>
            </w:r>
            <w:r>
              <w:rPr>
                <w:rFonts w:ascii="仿宋_GB2312" w:hAnsi="仿宋_GB2312" w:cs="仿宋_GB2312" w:eastAsia="仿宋_GB2312"/>
                <w:sz w:val="21"/>
              </w:rPr>
              <w:t>/弱脱敏。</w:t>
            </w:r>
          </w:p>
          <w:p>
            <w:pPr>
              <w:pStyle w:val="null3"/>
            </w:pPr>
            <w:r>
              <w:rPr>
                <w:rFonts w:ascii="仿宋_GB2312" w:hAnsi="仿宋_GB2312" w:cs="仿宋_GB2312" w:eastAsia="仿宋_GB2312"/>
                <w:sz w:val="21"/>
              </w:rPr>
              <w:t>(8)</w:t>
            </w:r>
            <w:r>
              <w:rPr>
                <w:rFonts w:ascii="仿宋_GB2312" w:hAnsi="仿宋_GB2312" w:cs="仿宋_GB2312" w:eastAsia="仿宋_GB2312"/>
                <w:sz w:val="21"/>
              </w:rPr>
              <w:t>具备覆盖物理、网络、主机、应用、数据与运维的安全策略与制度。</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功能要求1（数据可视化平台）：</w:t>
            </w:r>
          </w:p>
          <w:tbl>
            <w:tblPr>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序号</w:t>
                  </w:r>
                </w:p>
              </w:tc>
              <w:tc>
                <w:tcPr>
                  <w:tcW w:type="dxa" w:w="638"/>
                  <w:tcBorders>
                    <w:top w:val="singl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模块</w:t>
                  </w:r>
                </w:p>
              </w:tc>
              <w:tc>
                <w:tcPr>
                  <w:tcW w:type="dxa" w:w="638"/>
                  <w:tcBorders>
                    <w:top w:val="singl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功能</w:t>
                  </w:r>
                </w:p>
              </w:tc>
              <w:tc>
                <w:tcPr>
                  <w:tcW w:type="dxa" w:w="638"/>
                  <w:tcBorders>
                    <w:top w:val="singl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技术要求</w:t>
                  </w:r>
                </w:p>
              </w:tc>
            </w:tr>
            <w:tr>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1</w:t>
                  </w:r>
                </w:p>
              </w:tc>
              <w:tc>
                <w:tcPr>
                  <w:tcW w:type="dxa" w:w="638"/>
                  <w:vMerge w:val="restart"/>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both"/>
                  </w:pPr>
                  <w:r>
                    <w:rPr>
                      <w:rFonts w:ascii="仿宋_GB2312" w:hAnsi="仿宋_GB2312" w:cs="仿宋_GB2312" w:eastAsia="仿宋_GB2312"/>
                      <w:sz w:val="21"/>
                    </w:rPr>
                    <w:t>数据可视化平台</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系统架构</w:t>
                  </w:r>
                </w:p>
                <w:p>
                  <w:pPr>
                    <w:pStyle w:val="null3"/>
                    <w:jc w:val="center"/>
                  </w:pP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pPr>
                  <w:r>
                    <w:rPr>
                      <w:rFonts w:ascii="仿宋_GB2312" w:hAnsi="仿宋_GB2312" w:cs="仿宋_GB2312" w:eastAsia="仿宋_GB2312"/>
                      <w:sz w:val="21"/>
                    </w:rPr>
                    <w:t>1.采用纯 Web 架构，前端基于 HTML5 原生图形能力，支持组件化、低代码页面设计与发布；</w:t>
                  </w:r>
                </w:p>
                <w:p>
                  <w:pPr>
                    <w:pStyle w:val="null3"/>
                  </w:pPr>
                  <w:r>
                    <w:rPr>
                      <w:rFonts w:ascii="仿宋_GB2312" w:hAnsi="仿宋_GB2312" w:cs="仿宋_GB2312" w:eastAsia="仿宋_GB2312"/>
                      <w:sz w:val="21"/>
                    </w:rPr>
                    <w:t>2.兼容主流 Web 中间件（如 Tomcat、WebLogic、WebSphere、JBoss 等）；</w:t>
                  </w:r>
                </w:p>
                <w:p>
                  <w:pPr>
                    <w:pStyle w:val="null3"/>
                  </w:pPr>
                  <w:r>
                    <w:rPr>
                      <w:rFonts w:ascii="仿宋_GB2312" w:hAnsi="仿宋_GB2312" w:cs="仿宋_GB2312" w:eastAsia="仿宋_GB2312"/>
                      <w:sz w:val="21"/>
                    </w:rPr>
                    <w:t>3.运行于 Windows、Linux 及国产化操作系统（如欧拉、龙蜥、中标麒麟，统信等）；</w:t>
                  </w:r>
                </w:p>
                <w:p>
                  <w:pPr>
                    <w:pStyle w:val="null3"/>
                  </w:pPr>
                  <w:r>
                    <w:rPr>
                      <w:rFonts w:ascii="仿宋_GB2312" w:hAnsi="仿宋_GB2312" w:cs="仿宋_GB2312" w:eastAsia="仿宋_GB2312"/>
                      <w:sz w:val="21"/>
                    </w:rPr>
                    <w:t>4.兼容主流现代浏览器（Chrome、Edge、Firefox 等），无需安装浏览器插件。</w:t>
                  </w:r>
                </w:p>
              </w:tc>
            </w:tr>
            <w:tr>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2</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数据接入与建模</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pPr>
                  <w:r>
                    <w:rPr>
                      <w:rFonts w:ascii="仿宋_GB2312" w:hAnsi="仿宋_GB2312" w:cs="仿宋_GB2312" w:eastAsia="仿宋_GB2312"/>
                      <w:sz w:val="21"/>
                    </w:rPr>
                    <w:t>1.标准连接：支持 JDBC/ODBC/JNDI 及 WebService、REST API、Java API 等异构系统对接；</w:t>
                  </w:r>
                </w:p>
                <w:p>
                  <w:pPr>
                    <w:pStyle w:val="null3"/>
                  </w:pPr>
                  <w:r>
                    <w:rPr>
                      <w:rFonts w:ascii="仿宋_GB2312" w:hAnsi="仿宋_GB2312" w:cs="仿宋_GB2312" w:eastAsia="仿宋_GB2312"/>
                      <w:sz w:val="21"/>
                    </w:rPr>
                    <w:t>2.数据源：兼容主流及国产关系型数据库（如 Oracle、MySQL、SQLServer、PostgreSQL、达梦、人大金仓等），支持 MongoDB 等 NoSQL，支持 Hadoop/Hive、Kylin、Greenplum、ClickHouse、StarRocks 等大数据/MPP 生态；</w:t>
                  </w:r>
                </w:p>
                <w:p>
                  <w:pPr>
                    <w:pStyle w:val="null3"/>
                  </w:pPr>
                  <w:r>
                    <w:rPr>
                      <w:rFonts w:ascii="仿宋_GB2312" w:hAnsi="仿宋_GB2312" w:cs="仿宋_GB2312" w:eastAsia="仿宋_GB2312"/>
                      <w:sz w:val="21"/>
                    </w:rPr>
                    <w:t>3.文件取数：支持 Excel、CSV、TXT、XML、JSON 等；</w:t>
                  </w:r>
                </w:p>
                <w:p>
                  <w:pPr>
                    <w:pStyle w:val="null3"/>
                  </w:pPr>
                  <w:r>
                    <w:rPr>
                      <w:rFonts w:ascii="仿宋_GB2312" w:hAnsi="仿宋_GB2312" w:cs="仿宋_GB2312" w:eastAsia="仿宋_GB2312"/>
                      <w:sz w:val="21"/>
                    </w:rPr>
                    <w:t>4.数据准备：支持清洗转换、口径对齐、维度与指标建模，支持跨源合并与条件关联。</w:t>
                  </w:r>
                </w:p>
              </w:tc>
            </w:tr>
            <w:tr>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3</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可视化展示要求</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pPr>
                  <w:r>
                    <w:rPr>
                      <w:rFonts w:ascii="仿宋_GB2312" w:hAnsi="仿宋_GB2312" w:cs="仿宋_GB2312" w:eastAsia="仿宋_GB2312"/>
                      <w:sz w:val="21"/>
                    </w:rPr>
                    <w:t>1.组件与模板：内置通用图表与大屏模板，支持所见即所得设计、在线布局编辑、组件复用与多项目并行，提供模板版本管理与回溯、远程/协同设计能力；</w:t>
                  </w:r>
                </w:p>
                <w:p>
                  <w:pPr>
                    <w:pStyle w:val="null3"/>
                  </w:pPr>
                  <w:r>
                    <w:rPr>
                      <w:rFonts w:ascii="仿宋_GB2312" w:hAnsi="仿宋_GB2312" w:cs="仿宋_GB2312" w:eastAsia="仿宋_GB2312"/>
                      <w:sz w:val="21"/>
                    </w:rPr>
                    <w:t>2.图形引擎：采用 HTML5（Canvas/SVG）；支持 WebGL 等手段提升大屏与特效表现；</w:t>
                  </w:r>
                </w:p>
                <w:p>
                  <w:pPr>
                    <w:pStyle w:val="null3"/>
                  </w:pPr>
                  <w:r>
                    <w:rPr>
                      <w:rFonts w:ascii="仿宋_GB2312" w:hAnsi="仿宋_GB2312" w:cs="仿宋_GB2312" w:eastAsia="仿宋_GB2312"/>
                      <w:sz w:val="21"/>
                    </w:rPr>
                    <w:t>3.交互能力：支持筛选、联动、下钻、缩放、排序、全屏、预警线、趋势线、实时刷新与高亮提示；可配置监控刷新/闪烁提示等增强告警；</w:t>
                  </w:r>
                </w:p>
                <w:p>
                  <w:pPr>
                    <w:pStyle w:val="null3"/>
                  </w:pPr>
                  <w:r>
                    <w:rPr>
                      <w:rFonts w:ascii="仿宋_GB2312" w:hAnsi="仿宋_GB2312" w:cs="仿宋_GB2312" w:eastAsia="仿宋_GB2312"/>
                      <w:sz w:val="21"/>
                    </w:rPr>
                    <w:t>4.统计与计算：支持条件分组/公式分组、跨组/跨行统计与层级汇总，满足复杂业务计算；</w:t>
                  </w:r>
                </w:p>
                <w:p>
                  <w:pPr>
                    <w:pStyle w:val="null3"/>
                  </w:pPr>
                  <w:r>
                    <w:rPr>
                      <w:rFonts w:ascii="仿宋_GB2312" w:hAnsi="仿宋_GB2312" w:cs="仿宋_GB2312" w:eastAsia="仿宋_GB2312"/>
                      <w:sz w:val="21"/>
                    </w:rPr>
                    <w:t>5.布局与适配：支持响应式布局，PC/大屏/移动端自适配；建立统一交互体系，移动端手势与横竖屏切换与 PC 端钻取/联动体验一致；</w:t>
                  </w:r>
                </w:p>
                <w:p>
                  <w:pPr>
                    <w:pStyle w:val="null3"/>
                  </w:pPr>
                  <w:r>
                    <w:rPr>
                      <w:rFonts w:ascii="仿宋_GB2312" w:hAnsi="仿宋_GB2312" w:cs="仿宋_GB2312" w:eastAsia="仿宋_GB2312"/>
                      <w:sz w:val="21"/>
                    </w:rPr>
                    <w:t>6.地图与空间：支持多层级地图及 GIS 服务对接，实现指标与地理信息融合展示；</w:t>
                  </w:r>
                </w:p>
                <w:p>
                  <w:pPr>
                    <w:pStyle w:val="null3"/>
                  </w:pPr>
                  <w:r>
                    <w:rPr>
                      <w:rFonts w:ascii="仿宋_GB2312" w:hAnsi="仿宋_GB2312" w:cs="仿宋_GB2312" w:eastAsia="仿宋_GB2312"/>
                      <w:sz w:val="21"/>
                    </w:rPr>
                    <w:t>7.多页演示：支持多页面顺滑切换与统一风格管理，支持自动轮播与手动切换，切换过程无明显重载与闪烁；</w:t>
                  </w:r>
                </w:p>
                <w:p>
                  <w:pPr>
                    <w:pStyle w:val="null3"/>
                  </w:pPr>
                  <w:r>
                    <w:rPr>
                      <w:rFonts w:ascii="仿宋_GB2312" w:hAnsi="仿宋_GB2312" w:cs="仿宋_GB2312" w:eastAsia="仿宋_GB2312"/>
                      <w:sz w:val="21"/>
                    </w:rPr>
                    <w:t>8.输出与集成：支持跨平台 HTML5 输出与浏览器直接访问，可集成至微信/企业微信等第三方容器，自动优化移动端显示；</w:t>
                  </w:r>
                </w:p>
                <w:p>
                  <w:pPr>
                    <w:pStyle w:val="null3"/>
                  </w:pPr>
                  <w:r>
                    <w:rPr>
                      <w:rFonts w:ascii="仿宋_GB2312" w:hAnsi="仿宋_GB2312" w:cs="仿宋_GB2312" w:eastAsia="仿宋_GB2312"/>
                      <w:sz w:val="21"/>
                    </w:rPr>
                    <w:t>9.参数与页面：提供参数面板（下拉、文本、日期、树形、联动等），支持在线切换图表样式与布局；</w:t>
                  </w:r>
                </w:p>
                <w:p>
                  <w:pPr>
                    <w:pStyle w:val="null3"/>
                  </w:pPr>
                  <w:r>
                    <w:rPr>
                      <w:rFonts w:ascii="仿宋_GB2312" w:hAnsi="仿宋_GB2312" w:cs="仿宋_GB2312" w:eastAsia="仿宋_GB2312"/>
                      <w:sz w:val="21"/>
                    </w:rPr>
                    <w:t>10.权限与对接：支持与现有权限体系/统一认证（SSO）对接，实现分级权限与数据集身份验证，权限粒度可细化到字段/行列级，并支持审计留痕。</w:t>
                  </w:r>
                </w:p>
              </w:tc>
            </w:tr>
            <w:tr>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4</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3D效果</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pPr>
                  <w:r>
                    <w:rPr>
                      <w:rFonts w:ascii="仿宋_GB2312" w:hAnsi="仿宋_GB2312" w:cs="仿宋_GB2312" w:eastAsia="仿宋_GB2312"/>
                      <w:sz w:val="21"/>
                    </w:rPr>
                    <w:t>1.大屏模板与素材：提供面向大屏场景的模板类型，所见即所得编辑；内置常用素材与组件（如轮播容器、监控窗口等），便于快速搭建与复用。</w:t>
                  </w:r>
                </w:p>
                <w:p>
                  <w:pPr>
                    <w:pStyle w:val="null3"/>
                  </w:pPr>
                  <w:r>
                    <w:rPr>
                      <w:rFonts w:ascii="仿宋_GB2312" w:hAnsi="仿宋_GB2312" w:cs="仿宋_GB2312" w:eastAsia="仿宋_GB2312"/>
                      <w:sz w:val="21"/>
                    </w:rPr>
                    <w:t>2.多页与演示流畅性：支持多页面项目的自动轮播与手动切换，转场顺滑、组件不重复加载，适用于分章节/讲述式展示。</w:t>
                  </w:r>
                </w:p>
                <w:p>
                  <w:pPr>
                    <w:pStyle w:val="null3"/>
                  </w:pPr>
                  <w:r>
                    <w:rPr>
                      <w:rFonts w:ascii="仿宋_GB2312" w:hAnsi="仿宋_GB2312" w:cs="仿宋_GB2312" w:eastAsia="仿宋_GB2312"/>
                      <w:sz w:val="21"/>
                    </w:rPr>
                    <w:t>3.三维场景快速构建：支持基于通用地理数据自动生成园区/城市三维视图，无需专门建模即可完成基础三维场景搭建。</w:t>
                  </w:r>
                </w:p>
                <w:p>
                  <w:pPr>
                    <w:pStyle w:val="null3"/>
                  </w:pPr>
                  <w:r>
                    <w:rPr>
                      <w:rFonts w:ascii="仿宋_GB2312" w:hAnsi="仿宋_GB2312" w:cs="仿宋_GB2312" w:eastAsia="仿宋_GB2312"/>
                      <w:sz w:val="21"/>
                    </w:rPr>
                    <w:t>4.模型集成与零代码配置：支持通用三维模型格式导入，提供零代码的布局、特效与交互配置，满足智慧校园等精细化三维展示需要。</w:t>
                  </w:r>
                </w:p>
                <w:p>
                  <w:pPr>
                    <w:pStyle w:val="null3"/>
                  </w:pPr>
                  <w:r>
                    <w:rPr>
                      <w:rFonts w:ascii="仿宋_GB2312" w:hAnsi="仿宋_GB2312" w:cs="仿宋_GB2312" w:eastAsia="仿宋_GB2312"/>
                      <w:sz w:val="21"/>
                    </w:rPr>
                    <w:t>5.开放式三维引擎对接：支持接入第三方三维引擎或渲染资源，并可与图表组件及业务交互逻辑联动，实现数据与三维视效的融合展示。</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rPr>
              <w:t>功能要求2（校情决策分析主题展示）：</w:t>
            </w:r>
          </w:p>
          <w:tbl>
            <w:tblPr>
              <w:tblBorders>
                <w:top w:val="none" w:color="000000" w:sz="4"/>
                <w:left w:val="none" w:color="000000" w:sz="4"/>
                <w:bottom w:val="none" w:color="000000" w:sz="4"/>
                <w:right w:val="none" w:color="000000" w:sz="4"/>
                <w:insideH w:val="none"/>
                <w:insideV w:val="none"/>
              </w:tblBorders>
            </w:tblPr>
            <w:tblGrid>
              <w:gridCol w:w="593"/>
              <w:gridCol w:w="683"/>
              <w:gridCol w:w="638"/>
              <w:gridCol w:w="638"/>
            </w:tblGrid>
            <w:tr>
              <w:tc>
                <w:tcPr>
                  <w:tcW w:type="dxa" w:w="593"/>
                  <w:tcBorders>
                    <w:top w:val="singl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序号</w:t>
                  </w:r>
                </w:p>
              </w:tc>
              <w:tc>
                <w:tcPr>
                  <w:tcW w:type="dxa" w:w="683"/>
                  <w:tcBorders>
                    <w:top w:val="singl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模块</w:t>
                  </w:r>
                </w:p>
              </w:tc>
              <w:tc>
                <w:tcPr>
                  <w:tcW w:type="dxa" w:w="638"/>
                  <w:tcBorders>
                    <w:top w:val="singl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功能</w:t>
                  </w:r>
                </w:p>
              </w:tc>
              <w:tc>
                <w:tcPr>
                  <w:tcW w:type="dxa" w:w="638"/>
                  <w:tcBorders>
                    <w:top w:val="singl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技术要求</w:t>
                  </w:r>
                </w:p>
              </w:tc>
            </w:tr>
            <w:tr>
              <w:tc>
                <w:tcPr>
                  <w:tcW w:type="dxa" w:w="593"/>
                  <w:vMerge w:val="restart"/>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b/>
                    </w:rPr>
                    <w:t>1</w:t>
                  </w:r>
                </w:p>
              </w:tc>
              <w:tc>
                <w:tcPr>
                  <w:tcW w:type="dxa" w:w="683"/>
                  <w:vMerge w:val="restart"/>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both"/>
                  </w:pPr>
                  <w:r>
                    <w:rPr>
                      <w:rFonts w:ascii="仿宋_GB2312" w:hAnsi="仿宋_GB2312" w:cs="仿宋_GB2312" w:eastAsia="仿宋_GB2312"/>
                      <w:sz w:val="21"/>
                    </w:rPr>
                    <w:t>学科建设分析</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建设需求</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ind w:firstLine="420"/>
                  </w:pPr>
                  <w:r>
                    <w:rPr>
                      <w:rFonts w:ascii="仿宋_GB2312" w:hAnsi="仿宋_GB2312" w:cs="仿宋_GB2312" w:eastAsia="仿宋_GB2312"/>
                      <w:sz w:val="21"/>
                    </w:rPr>
                    <w:t>通过对接校级数据中心相关数据资源，构建以“人才培养质量”“师资队伍与资源”“科学研究水平”为核心的学科画像指标体系，实现多维度、多粒度的数据分析能力，全面支撑研究生院及校领导在学科建设评价、资源配置、政策制定等方面的管理与决策。支持各类学科建设报表管理，实现研究生院灵活多变的数据统计查询需求。</w:t>
                  </w:r>
                </w:p>
                <w:p>
                  <w:pPr>
                    <w:pStyle w:val="null3"/>
                    <w:ind w:firstLine="420"/>
                  </w:pPr>
                  <w:r>
                    <w:rPr>
                      <w:rFonts w:ascii="仿宋_GB2312" w:hAnsi="仿宋_GB2312" w:cs="仿宋_GB2312" w:eastAsia="仿宋_GB2312"/>
                      <w:sz w:val="21"/>
                    </w:rPr>
                    <w:t>要求学科建设分析可以支持与人事绩效、科研（纵/横向）、资产情况实现相互钻取和联动。</w:t>
                  </w:r>
                </w:p>
              </w:tc>
            </w:tr>
            <w:tr>
              <w:tc>
                <w:tcPr>
                  <w:tcW w:type="dxa" w:w="593"/>
                  <w:vMerge/>
                  <w:tcBorders>
                    <w:top w:val="none" w:color="000000" w:sz="4"/>
                    <w:left w:val="single" w:color="000000" w:sz="4"/>
                    <w:bottom w:val="single" w:color="000000" w:sz="4"/>
                    <w:right w:val="single" w:color="000000" w:sz="4"/>
                  </w:tcBorders>
                </w:tcPr>
                <w:p/>
              </w:tc>
              <w:tc>
                <w:tcPr>
                  <w:tcW w:type="dxa" w:w="683"/>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数据接入与基础管理</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pPr>
                  <w:r>
                    <w:rPr>
                      <w:rFonts w:ascii="仿宋_GB2312" w:hAnsi="仿宋_GB2312" w:cs="仿宋_GB2312" w:eastAsia="仿宋_GB2312"/>
                      <w:sz w:val="21"/>
                    </w:rPr>
                    <w:t>1.按学科建设总体规划建立校内学科目录（学科门类、一级学科/专业学位类别、二级学科/专业领域），支持自设学科管理。</w:t>
                  </w:r>
                </w:p>
                <w:p>
                  <w:pPr>
                    <w:pStyle w:val="null3"/>
                  </w:pPr>
                  <w:r>
                    <w:rPr>
                      <w:rFonts w:ascii="仿宋_GB2312" w:hAnsi="仿宋_GB2312" w:cs="仿宋_GB2312" w:eastAsia="仿宋_GB2312"/>
                      <w:sz w:val="21"/>
                    </w:rPr>
                    <w:t>2.维护学科基本信息（名称、代码、授权级别/时间、负责学院、协助学院、关联培养类别等）。</w:t>
                  </w:r>
                </w:p>
                <w:p>
                  <w:pPr>
                    <w:pStyle w:val="null3"/>
                  </w:pPr>
                  <w:r>
                    <w:rPr>
                      <w:rFonts w:ascii="仿宋_GB2312" w:hAnsi="仿宋_GB2312" w:cs="仿宋_GB2312" w:eastAsia="仿宋_GB2312"/>
                      <w:sz w:val="21"/>
                    </w:rPr>
                    <w:t>3.集成学科建设相关数据，支持研究生院与学科秘书等角色按权限查看与导出，并支持数据新增/修改/审核等功能；</w:t>
                  </w:r>
                </w:p>
                <w:p>
                  <w:pPr>
                    <w:pStyle w:val="null3"/>
                  </w:pPr>
                  <w:r>
                    <w:rPr>
                      <w:rFonts w:ascii="仿宋_GB2312" w:hAnsi="仿宋_GB2312" w:cs="仿宋_GB2312" w:eastAsia="仿宋_GB2312"/>
                      <w:sz w:val="21"/>
                    </w:rPr>
                    <w:t>4.支持对数据进行指定成果归属，支持多学科归属指定、统计与维度调整、批量导入/模板下载；对归属难的数据可手动指定学科，明确后续申报与统计工作时每个学科可使用的成果范围。</w:t>
                  </w:r>
                </w:p>
                <w:p>
                  <w:pPr>
                    <w:pStyle w:val="null3"/>
                  </w:pPr>
                  <w:r>
                    <w:rPr>
                      <w:rFonts w:ascii="仿宋_GB2312" w:hAnsi="仿宋_GB2312" w:cs="仿宋_GB2312" w:eastAsia="仿宋_GB2312"/>
                      <w:sz w:val="21"/>
                    </w:rPr>
                    <w:t>5.构建学科基础数据目录（科研成果、项目/经费、导师/博导、课程、论文、学生奖助、奖学金、就业等）。</w:t>
                  </w:r>
                </w:p>
                <w:p>
                  <w:pPr>
                    <w:pStyle w:val="null3"/>
                  </w:pPr>
                  <w:r>
                    <w:rPr>
                      <w:rFonts w:ascii="仿宋_GB2312" w:hAnsi="仿宋_GB2312" w:cs="仿宋_GB2312" w:eastAsia="仿宋_GB2312"/>
                      <w:sz w:val="21"/>
                    </w:rPr>
                    <w:t>6.对接数据中台，获取科研、学工、人事等多源数据，支持在原有数据基础上的补采工作，通过新增、修改、编辑、审核等方式补充原有数据。</w:t>
                  </w:r>
                </w:p>
                <w:p>
                  <w:pPr>
                    <w:pStyle w:val="null3"/>
                  </w:pPr>
                  <w:r>
                    <w:rPr>
                      <w:rFonts w:ascii="仿宋_GB2312" w:hAnsi="仿宋_GB2312" w:cs="仿宋_GB2312" w:eastAsia="仿宋_GB2312"/>
                      <w:sz w:val="21"/>
                    </w:rPr>
                    <w:t>7.▲数据模型管理：按目录管理数据模型（表名、中文名、来源、管理模式、行区分字段、责权部门、管理范围、描述等），支持数据模型的导入/导出。</w:t>
                  </w:r>
                </w:p>
                <w:p>
                  <w:pPr>
                    <w:pStyle w:val="null3"/>
                  </w:pPr>
                  <w:r>
                    <w:rPr>
                      <w:rFonts w:ascii="仿宋_GB2312" w:hAnsi="仿宋_GB2312" w:cs="仿宋_GB2312" w:eastAsia="仿宋_GB2312"/>
                      <w:sz w:val="21"/>
                    </w:rPr>
                    <w:t>8.基础数据统计分析：支持通过图表对基础数据进行统计分析，从不同维度分析成果的分布情况，（如各学科教师分布、论文数量与等级等）。</w:t>
                  </w:r>
                </w:p>
                <w:p>
                  <w:pPr>
                    <w:pStyle w:val="null3"/>
                  </w:pPr>
                  <w:r>
                    <w:rPr>
                      <w:rFonts w:ascii="仿宋_GB2312" w:hAnsi="仿宋_GB2312" w:cs="仿宋_GB2312" w:eastAsia="仿宋_GB2312"/>
                      <w:sz w:val="21"/>
                    </w:rPr>
                    <w:t>9.需实现成果数据与教师、学科、学院的准确关联：每项成果需有唯一牵头负责人（教师）、唯一归属学科、唯一归属学院。</w:t>
                  </w:r>
                </w:p>
                <w:p>
                  <w:pPr>
                    <w:pStyle w:val="null3"/>
                  </w:pPr>
                  <w:r>
                    <w:rPr>
                      <w:rFonts w:ascii="仿宋_GB2312" w:hAnsi="仿宋_GB2312" w:cs="仿宋_GB2312" w:eastAsia="仿宋_GB2312"/>
                      <w:sz w:val="21"/>
                    </w:rPr>
                    <w:t>10.▲教师支持设置“多学科归属”，为多维度分析提供支撑。</w:t>
                  </w:r>
                </w:p>
                <w:p>
                  <w:pPr>
                    <w:pStyle w:val="null3"/>
                  </w:pPr>
                  <w:r>
                    <w:rPr>
                      <w:rFonts w:ascii="仿宋_GB2312" w:hAnsi="仿宋_GB2312" w:cs="仿宋_GB2312" w:eastAsia="仿宋_GB2312"/>
                      <w:sz w:val="21"/>
                    </w:rPr>
                    <w:t>11.提供按教师、学科、学院三类主体维度的成果数据归集、筛选与导出功能。</w:t>
                  </w:r>
                </w:p>
                <w:p>
                  <w:pPr>
                    <w:pStyle w:val="null3"/>
                  </w:pPr>
                  <w:r>
                    <w:rPr>
                      <w:rFonts w:ascii="仿宋_GB2312" w:hAnsi="仿宋_GB2312" w:cs="仿宋_GB2312" w:eastAsia="仿宋_GB2312"/>
                      <w:sz w:val="21"/>
                    </w:rPr>
                    <w:t>12.支持引入青塔等外部学科数据资源，实现外部数据对比。</w:t>
                  </w:r>
                </w:p>
              </w:tc>
            </w:tr>
            <w:tr>
              <w:tc>
                <w:tcPr>
                  <w:tcW w:type="dxa" w:w="593"/>
                  <w:vMerge/>
                  <w:tcBorders>
                    <w:top w:val="none" w:color="000000" w:sz="4"/>
                    <w:left w:val="single" w:color="000000" w:sz="4"/>
                    <w:bottom w:val="single" w:color="000000" w:sz="4"/>
                    <w:right w:val="single" w:color="000000" w:sz="4"/>
                  </w:tcBorders>
                </w:tcPr>
                <w:p/>
              </w:tc>
              <w:tc>
                <w:tcPr>
                  <w:tcW w:type="dxa" w:w="683"/>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指标体系构建与动态更新</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pPr>
                  <w:r>
                    <w:rPr>
                      <w:rFonts w:ascii="仿宋_GB2312" w:hAnsi="仿宋_GB2312" w:cs="仿宋_GB2312" w:eastAsia="仿宋_GB2312"/>
                      <w:sz w:val="21"/>
                    </w:rPr>
                    <w:t>1.建立三大方向的学科建设指标体系，包括：人才培养质量类；师资队伍与资源；科学研究水平类。</w:t>
                  </w:r>
                </w:p>
                <w:p>
                  <w:pPr>
                    <w:pStyle w:val="null3"/>
                  </w:pPr>
                  <w:r>
                    <w:rPr>
                      <w:rFonts w:ascii="仿宋_GB2312" w:hAnsi="仿宋_GB2312" w:cs="仿宋_GB2312" w:eastAsia="仿宋_GB2312"/>
                      <w:sz w:val="21"/>
                    </w:rPr>
                    <w:t>2.支持指标的新增、调整、停用等配置，适配政策变动与评估口径调整。</w:t>
                  </w:r>
                </w:p>
                <w:p>
                  <w:pPr>
                    <w:pStyle w:val="null3"/>
                  </w:pPr>
                  <w:r>
                    <w:rPr>
                      <w:rFonts w:ascii="仿宋_GB2312" w:hAnsi="仿宋_GB2312" w:cs="仿宋_GB2312" w:eastAsia="仿宋_GB2312"/>
                      <w:sz w:val="21"/>
                    </w:rPr>
                    <w:t>3.指标支持设置数据来源、计算逻辑、归属单位、归属学科等属性，增强系统可维护性与指标可信度。</w:t>
                  </w:r>
                </w:p>
                <w:p>
                  <w:pPr>
                    <w:pStyle w:val="null3"/>
                  </w:pPr>
                  <w:r>
                    <w:rPr>
                      <w:rFonts w:ascii="仿宋_GB2312" w:hAnsi="仿宋_GB2312" w:cs="仿宋_GB2312" w:eastAsia="仿宋_GB2312"/>
                      <w:sz w:val="21"/>
                    </w:rPr>
                    <w:t>4.具体指标要求如下：（在交付环节支持根据实际需求进行调整）</w:t>
                  </w:r>
                </w:p>
                <w:p>
                  <w:pPr>
                    <w:pStyle w:val="null3"/>
                  </w:pPr>
                  <w:r>
                    <w:rPr>
                      <w:rFonts w:ascii="仿宋_GB2312" w:hAnsi="仿宋_GB2312" w:cs="仿宋_GB2312" w:eastAsia="仿宋_GB2312"/>
                      <w:sz w:val="21"/>
                      <w:b/>
                    </w:rPr>
                    <w:t>（1）人才培养质量</w:t>
                  </w:r>
                </w:p>
                <w:p>
                  <w:pPr>
                    <w:pStyle w:val="null3"/>
                  </w:pPr>
                  <w:r>
                    <w:rPr>
                      <w:rFonts w:ascii="仿宋_GB2312" w:hAnsi="仿宋_GB2312" w:cs="仿宋_GB2312" w:eastAsia="仿宋_GB2312"/>
                      <w:sz w:val="21"/>
                    </w:rPr>
                    <w:t>1）国家级思想政治教育荣誉表彰/项目类型数</w:t>
                  </w:r>
                </w:p>
                <w:p>
                  <w:pPr>
                    <w:pStyle w:val="null3"/>
                  </w:pPr>
                  <w:r>
                    <w:rPr>
                      <w:rFonts w:ascii="仿宋_GB2312" w:hAnsi="仿宋_GB2312" w:cs="仿宋_GB2312" w:eastAsia="仿宋_GB2312"/>
                      <w:sz w:val="21"/>
                    </w:rPr>
                    <w:t>2）国家级课程数</w:t>
                  </w:r>
                </w:p>
                <w:p>
                  <w:pPr>
                    <w:pStyle w:val="null3"/>
                  </w:pPr>
                  <w:r>
                    <w:rPr>
                      <w:rFonts w:ascii="仿宋_GB2312" w:hAnsi="仿宋_GB2312" w:cs="仿宋_GB2312" w:eastAsia="仿宋_GB2312"/>
                      <w:sz w:val="21"/>
                    </w:rPr>
                    <w:t>3）国家级教学成果奖数</w:t>
                  </w:r>
                </w:p>
                <w:p>
                  <w:pPr>
                    <w:pStyle w:val="null3"/>
                  </w:pPr>
                  <w:r>
                    <w:rPr>
                      <w:rFonts w:ascii="仿宋_GB2312" w:hAnsi="仿宋_GB2312" w:cs="仿宋_GB2312" w:eastAsia="仿宋_GB2312"/>
                      <w:sz w:val="21"/>
                    </w:rPr>
                    <w:t>4）省级教学成果特等、一等奖数</w:t>
                  </w:r>
                </w:p>
                <w:p>
                  <w:pPr>
                    <w:pStyle w:val="null3"/>
                  </w:pPr>
                  <w:r>
                    <w:rPr>
                      <w:rFonts w:ascii="仿宋_GB2312" w:hAnsi="仿宋_GB2312" w:cs="仿宋_GB2312" w:eastAsia="仿宋_GB2312"/>
                      <w:sz w:val="21"/>
                    </w:rPr>
                    <w:t>5）省级教学成果二等奖数</w:t>
                  </w:r>
                </w:p>
                <w:p>
                  <w:pPr>
                    <w:pStyle w:val="null3"/>
                  </w:pPr>
                  <w:r>
                    <w:rPr>
                      <w:rFonts w:ascii="仿宋_GB2312" w:hAnsi="仿宋_GB2312" w:cs="仿宋_GB2312" w:eastAsia="仿宋_GB2312"/>
                      <w:sz w:val="21"/>
                    </w:rPr>
                    <w:t>6）国家级规划教材数</w:t>
                  </w:r>
                </w:p>
                <w:p>
                  <w:pPr>
                    <w:pStyle w:val="null3"/>
                  </w:pPr>
                  <w:r>
                    <w:rPr>
                      <w:rFonts w:ascii="仿宋_GB2312" w:hAnsi="仿宋_GB2312" w:cs="仿宋_GB2312" w:eastAsia="仿宋_GB2312"/>
                      <w:sz w:val="21"/>
                      <w:b/>
                    </w:rPr>
                    <w:t>（2）师资队伍与资源</w:t>
                  </w:r>
                </w:p>
                <w:p>
                  <w:pPr>
                    <w:pStyle w:val="null3"/>
                  </w:pPr>
                  <w:r>
                    <w:rPr>
                      <w:rFonts w:ascii="仿宋_GB2312" w:hAnsi="仿宋_GB2312" w:cs="仿宋_GB2312" w:eastAsia="仿宋_GB2312"/>
                      <w:sz w:val="21"/>
                    </w:rPr>
                    <w:t>1）国家级师德师风荣誉表彰数</w:t>
                  </w:r>
                </w:p>
                <w:p>
                  <w:pPr>
                    <w:pStyle w:val="null3"/>
                  </w:pPr>
                  <w:r>
                    <w:rPr>
                      <w:rFonts w:ascii="仿宋_GB2312" w:hAnsi="仿宋_GB2312" w:cs="仿宋_GB2312" w:eastAsia="仿宋_GB2312"/>
                      <w:sz w:val="21"/>
                    </w:rPr>
                    <w:t>2）国家级人才数（含团队）</w:t>
                  </w:r>
                </w:p>
                <w:p>
                  <w:pPr>
                    <w:pStyle w:val="null3"/>
                  </w:pPr>
                  <w:r>
                    <w:rPr>
                      <w:rFonts w:ascii="仿宋_GB2312" w:hAnsi="仿宋_GB2312" w:cs="仿宋_GB2312" w:eastAsia="仿宋_GB2312"/>
                      <w:sz w:val="21"/>
                    </w:rPr>
                    <w:t>3）省级人才数（含团队）</w:t>
                  </w:r>
                </w:p>
                <w:p>
                  <w:pPr>
                    <w:pStyle w:val="null3"/>
                  </w:pPr>
                  <w:r>
                    <w:rPr>
                      <w:rFonts w:ascii="仿宋_GB2312" w:hAnsi="仿宋_GB2312" w:cs="仿宋_GB2312" w:eastAsia="仿宋_GB2312"/>
                      <w:sz w:val="21"/>
                    </w:rPr>
                    <w:t>4）国家级平台数</w:t>
                  </w:r>
                </w:p>
                <w:p>
                  <w:pPr>
                    <w:pStyle w:val="null3"/>
                  </w:pPr>
                  <w:r>
                    <w:rPr>
                      <w:rFonts w:ascii="仿宋_GB2312" w:hAnsi="仿宋_GB2312" w:cs="仿宋_GB2312" w:eastAsia="仿宋_GB2312"/>
                      <w:sz w:val="21"/>
                    </w:rPr>
                    <w:t>7）教育部平台、国防重点学科实验室数</w:t>
                  </w:r>
                </w:p>
                <w:p>
                  <w:pPr>
                    <w:pStyle w:val="null3"/>
                  </w:pPr>
                  <w:r>
                    <w:rPr>
                      <w:rFonts w:ascii="仿宋_GB2312" w:hAnsi="仿宋_GB2312" w:cs="仿宋_GB2312" w:eastAsia="仿宋_GB2312"/>
                      <w:sz w:val="21"/>
                    </w:rPr>
                    <w:t>6）省级平台数</w:t>
                  </w:r>
                </w:p>
                <w:p>
                  <w:pPr>
                    <w:pStyle w:val="null3"/>
                  </w:pPr>
                  <w:r>
                    <w:rPr>
                      <w:rFonts w:ascii="仿宋_GB2312" w:hAnsi="仿宋_GB2312" w:cs="仿宋_GB2312" w:eastAsia="仿宋_GB2312"/>
                      <w:sz w:val="21"/>
                      <w:b/>
                    </w:rPr>
                    <w:t>（3）科学研究水平指标</w:t>
                  </w:r>
                </w:p>
                <w:p>
                  <w:pPr>
                    <w:pStyle w:val="null3"/>
                  </w:pPr>
                  <w:r>
                    <w:rPr>
                      <w:rFonts w:ascii="仿宋_GB2312" w:hAnsi="仿宋_GB2312" w:cs="仿宋_GB2312" w:eastAsia="仿宋_GB2312"/>
                      <w:sz w:val="21"/>
                    </w:rPr>
                    <w:t>1）国家级科研奖励数</w:t>
                  </w:r>
                </w:p>
                <w:p>
                  <w:pPr>
                    <w:pStyle w:val="null3"/>
                  </w:pPr>
                  <w:r>
                    <w:rPr>
                      <w:rFonts w:ascii="仿宋_GB2312" w:hAnsi="仿宋_GB2312" w:cs="仿宋_GB2312" w:eastAsia="仿宋_GB2312"/>
                      <w:sz w:val="21"/>
                    </w:rPr>
                    <w:t>2）教育部奖、军队国防奖、中国专利银奖以上数</w:t>
                  </w:r>
                </w:p>
                <w:p>
                  <w:pPr>
                    <w:pStyle w:val="null3"/>
                  </w:pPr>
                  <w:r>
                    <w:rPr>
                      <w:rFonts w:ascii="仿宋_GB2312" w:hAnsi="仿宋_GB2312" w:cs="仿宋_GB2312" w:eastAsia="仿宋_GB2312"/>
                      <w:sz w:val="21"/>
                    </w:rPr>
                    <w:t>3）省级一等奖数</w:t>
                  </w:r>
                </w:p>
                <w:p>
                  <w:pPr>
                    <w:pStyle w:val="null3"/>
                  </w:pPr>
                  <w:r>
                    <w:rPr>
                      <w:rFonts w:ascii="仿宋_GB2312" w:hAnsi="仿宋_GB2312" w:cs="仿宋_GB2312" w:eastAsia="仿宋_GB2312"/>
                      <w:sz w:val="21"/>
                    </w:rPr>
                    <w:t>4）省级二等奖数</w:t>
                  </w:r>
                </w:p>
                <w:p>
                  <w:pPr>
                    <w:pStyle w:val="null3"/>
                  </w:pPr>
                  <w:r>
                    <w:rPr>
                      <w:rFonts w:ascii="仿宋_GB2312" w:hAnsi="仿宋_GB2312" w:cs="仿宋_GB2312" w:eastAsia="仿宋_GB2312"/>
                      <w:sz w:val="21"/>
                    </w:rPr>
                    <w:t>5）重要国际奖、学会协会奖数</w:t>
                  </w:r>
                </w:p>
                <w:p>
                  <w:pPr>
                    <w:pStyle w:val="null3"/>
                  </w:pPr>
                  <w:r>
                    <w:rPr>
                      <w:rFonts w:ascii="仿宋_GB2312" w:hAnsi="仿宋_GB2312" w:cs="仿宋_GB2312" w:eastAsia="仿宋_GB2312"/>
                      <w:sz w:val="21"/>
                    </w:rPr>
                    <w:t>6）发明专利、国际专利转化金额</w:t>
                  </w:r>
                </w:p>
                <w:p>
                  <w:pPr>
                    <w:pStyle w:val="null3"/>
                  </w:pPr>
                  <w:r>
                    <w:rPr>
                      <w:rFonts w:ascii="仿宋_GB2312" w:hAnsi="仿宋_GB2312" w:cs="仿宋_GB2312" w:eastAsia="仿宋_GB2312"/>
                      <w:sz w:val="21"/>
                    </w:rPr>
                    <w:t>7）国家级重大重点项目数</w:t>
                  </w:r>
                </w:p>
                <w:p>
                  <w:pPr>
                    <w:pStyle w:val="null3"/>
                  </w:pPr>
                  <w:r>
                    <w:rPr>
                      <w:rFonts w:ascii="仿宋_GB2312" w:hAnsi="仿宋_GB2312" w:cs="仿宋_GB2312" w:eastAsia="仿宋_GB2312"/>
                      <w:sz w:val="21"/>
                    </w:rPr>
                    <w:t>8）国家自然基金</w:t>
                  </w:r>
                </w:p>
                <w:p>
                  <w:pPr>
                    <w:pStyle w:val="null3"/>
                  </w:pPr>
                  <w:r>
                    <w:rPr>
                      <w:rFonts w:ascii="仿宋_GB2312" w:hAnsi="仿宋_GB2312" w:cs="仿宋_GB2312" w:eastAsia="仿宋_GB2312"/>
                      <w:sz w:val="21"/>
                    </w:rPr>
                    <w:t>9）国家社科基金数</w:t>
                  </w:r>
                </w:p>
                <w:p>
                  <w:pPr>
                    <w:pStyle w:val="null3"/>
                  </w:pPr>
                  <w:r>
                    <w:rPr>
                      <w:rFonts w:ascii="仿宋_GB2312" w:hAnsi="仿宋_GB2312" w:cs="仿宋_GB2312" w:eastAsia="仿宋_GB2312"/>
                      <w:sz w:val="21"/>
                    </w:rPr>
                    <w:t>10）重大横向科研项目数（300万元以上）</w:t>
                  </w:r>
                </w:p>
                <w:p>
                  <w:pPr>
                    <w:pStyle w:val="null3"/>
                  </w:pPr>
                  <w:r>
                    <w:rPr>
                      <w:rFonts w:ascii="仿宋_GB2312" w:hAnsi="仿宋_GB2312" w:cs="仿宋_GB2312" w:eastAsia="仿宋_GB2312"/>
                      <w:sz w:val="21"/>
                    </w:rPr>
                    <w:t>11）入选国家级教学科研各类委员会人数</w:t>
                  </w:r>
                </w:p>
                <w:p>
                  <w:pPr>
                    <w:pStyle w:val="null3"/>
                  </w:pPr>
                  <w:r>
                    <w:rPr>
                      <w:rFonts w:ascii="仿宋_GB2312" w:hAnsi="仿宋_GB2312" w:cs="仿宋_GB2312" w:eastAsia="仿宋_GB2312"/>
                      <w:sz w:val="21"/>
                    </w:rPr>
                    <w:t>12）教师在重要期刊任主编或副主编人数</w:t>
                  </w:r>
                </w:p>
                <w:p>
                  <w:pPr>
                    <w:pStyle w:val="null3"/>
                  </w:pPr>
                  <w:r>
                    <w:rPr>
                      <w:rFonts w:ascii="仿宋_GB2312" w:hAnsi="仿宋_GB2312" w:cs="仿宋_GB2312" w:eastAsia="仿宋_GB2312"/>
                      <w:sz w:val="21"/>
                    </w:rPr>
                    <w:t>13）国家级一级学会任职人数</w:t>
                  </w:r>
                </w:p>
              </w:tc>
            </w:tr>
            <w:tr>
              <w:tc>
                <w:tcPr>
                  <w:tcW w:type="dxa" w:w="593"/>
                  <w:vMerge/>
                  <w:tcBorders>
                    <w:top w:val="none" w:color="000000" w:sz="4"/>
                    <w:left w:val="single" w:color="000000" w:sz="4"/>
                    <w:bottom w:val="single" w:color="000000" w:sz="4"/>
                    <w:right w:val="single" w:color="000000" w:sz="4"/>
                  </w:tcBorders>
                </w:tcPr>
                <w:p/>
              </w:tc>
              <w:tc>
                <w:tcPr>
                  <w:tcW w:type="dxa" w:w="683"/>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多维分析展示</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pPr>
                  <w:r>
                    <w:rPr>
                      <w:rFonts w:ascii="仿宋_GB2312" w:hAnsi="仿宋_GB2312" w:cs="仿宋_GB2312" w:eastAsia="仿宋_GB2312"/>
                      <w:sz w:val="21"/>
                    </w:rPr>
                    <w:t>1.至少包括学校、学院、个人三个数据驾驶舱；</w:t>
                  </w:r>
                </w:p>
                <w:p>
                  <w:pPr>
                    <w:pStyle w:val="null3"/>
                  </w:pPr>
                  <w:r>
                    <w:rPr>
                      <w:rFonts w:ascii="仿宋_GB2312" w:hAnsi="仿宋_GB2312" w:cs="仿宋_GB2312" w:eastAsia="仿宋_GB2312"/>
                      <w:sz w:val="21"/>
                    </w:rPr>
                    <w:t>2.支持按年度、五年周期等时间维度，对各类核心指标开展纵向趋势分析与横向对比分析，直观反映学科或学院建设成效变化。</w:t>
                  </w:r>
                </w:p>
                <w:p>
                  <w:pPr>
                    <w:pStyle w:val="null3"/>
                  </w:pPr>
                  <w:r>
                    <w:rPr>
                      <w:rFonts w:ascii="仿宋_GB2312" w:hAnsi="仿宋_GB2312" w:cs="仿宋_GB2312" w:eastAsia="仿宋_GB2312"/>
                      <w:sz w:val="21"/>
                    </w:rPr>
                    <w:t>3.提供多维筛选与组合查询功能，用户可基于指标类型、时间区间、归属学科、学院等条件自由分析。</w:t>
                  </w:r>
                </w:p>
                <w:p>
                  <w:pPr>
                    <w:pStyle w:val="null3"/>
                  </w:pPr>
                  <w:r>
                    <w:rPr>
                      <w:rFonts w:ascii="仿宋_GB2312" w:hAnsi="仿宋_GB2312" w:cs="仿宋_GB2312" w:eastAsia="仿宋_GB2312"/>
                      <w:sz w:val="21"/>
                    </w:rPr>
                    <w:t>4.支持趋势识别与变化标注能力，可自动识别并高亮展示指标的“提升”或“下降”状态，辅助绩效评估与决策判断。</w:t>
                  </w:r>
                </w:p>
                <w:p>
                  <w:pPr>
                    <w:pStyle w:val="null3"/>
                  </w:pPr>
                  <w:r>
                    <w:rPr>
                      <w:rFonts w:ascii="仿宋_GB2312" w:hAnsi="仿宋_GB2312" w:cs="仿宋_GB2312" w:eastAsia="仿宋_GB2312"/>
                      <w:sz w:val="21"/>
                    </w:rPr>
                    <w:t>5.所有主题分析驾驶舱支持逐级下钻，学校--学院--学科。</w:t>
                  </w:r>
                </w:p>
                <w:p>
                  <w:pPr>
                    <w:pStyle w:val="null3"/>
                  </w:pPr>
                  <w:r>
                    <w:rPr>
                      <w:rFonts w:ascii="仿宋_GB2312" w:hAnsi="仿宋_GB2312" w:cs="仿宋_GB2312" w:eastAsia="仿宋_GB2312"/>
                      <w:sz w:val="21"/>
                    </w:rPr>
                    <w:t>6.分析结果支持以图表形式展示（折线图、柱状图、堆积图等），并可联动切换不同时间粒度或对比对象。</w:t>
                  </w:r>
                </w:p>
                <w:p>
                  <w:pPr>
                    <w:pStyle w:val="null3"/>
                  </w:pPr>
                  <w:r>
                    <w:rPr>
                      <w:rFonts w:ascii="仿宋_GB2312" w:hAnsi="仿宋_GB2312" w:cs="仿宋_GB2312" w:eastAsia="仿宋_GB2312"/>
                      <w:sz w:val="21"/>
                    </w:rPr>
                    <w:t>7.▲支持引入国际、国内学科排名数据，实现人才培养、师资队伍、科学研究、国际合作和学科建设等指标的校际对比分析。</w:t>
                  </w:r>
                </w:p>
                <w:p>
                  <w:pPr>
                    <w:pStyle w:val="null3"/>
                  </w:pPr>
                  <w:r>
                    <w:rPr>
                      <w:rFonts w:ascii="仿宋_GB2312" w:hAnsi="仿宋_GB2312" w:cs="仿宋_GB2312" w:eastAsia="仿宋_GB2312"/>
                      <w:sz w:val="21"/>
                    </w:rPr>
                    <w:t>8.驾驶舱应支持将关键指标的当前数据，与国家标准或学校自定发展目标进行对比展示，清晰呈现当前水平、目标值及差距情况，辅助管理者掌握学校发展定位与阶段性成效。</w:t>
                  </w:r>
                </w:p>
              </w:tc>
            </w:tr>
            <w:tr>
              <w:tc>
                <w:tcPr>
                  <w:tcW w:type="dxa" w:w="593"/>
                  <w:vMerge/>
                  <w:tcBorders>
                    <w:top w:val="none" w:color="000000" w:sz="4"/>
                    <w:left w:val="single" w:color="000000" w:sz="4"/>
                    <w:bottom w:val="single" w:color="000000" w:sz="4"/>
                    <w:right w:val="single" w:color="000000" w:sz="4"/>
                  </w:tcBorders>
                </w:tcPr>
                <w:p/>
              </w:tc>
              <w:tc>
                <w:tcPr>
                  <w:tcW w:type="dxa" w:w="683"/>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学科建设报表管理</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pPr>
                  <w:r>
                    <w:rPr>
                      <w:rFonts w:ascii="仿宋_GB2312" w:hAnsi="仿宋_GB2312" w:cs="仿宋_GB2312" w:eastAsia="仿宋_GB2312"/>
                      <w:sz w:val="21"/>
                    </w:rPr>
                    <w:t>1.按学校规范定制各类学科建设报表模板，依据国家合格评估要求建立评价指标与填报标准。支持对模板进行相应修改调整。</w:t>
                  </w:r>
                </w:p>
                <w:p>
                  <w:pPr>
                    <w:pStyle w:val="null3"/>
                  </w:pPr>
                  <w:r>
                    <w:rPr>
                      <w:rFonts w:ascii="仿宋_GB2312" w:hAnsi="仿宋_GB2312" w:cs="仿宋_GB2312" w:eastAsia="仿宋_GB2312"/>
                      <w:sz w:val="21"/>
                    </w:rPr>
                    <w:t>2.支持字段、分组、说明文字、校验规则等口径配置并版本化管理。</w:t>
                  </w:r>
                </w:p>
                <w:p>
                  <w:pPr>
                    <w:pStyle w:val="null3"/>
                  </w:pPr>
                  <w:r>
                    <w:rPr>
                      <w:rFonts w:ascii="仿宋_GB2312" w:hAnsi="仿宋_GB2312" w:cs="仿宋_GB2312" w:eastAsia="仿宋_GB2312"/>
                      <w:sz w:val="21"/>
                    </w:rPr>
                    <w:t>3.支持模板复制与继承，减少重复配置工作量。</w:t>
                  </w:r>
                </w:p>
                <w:p>
                  <w:pPr>
                    <w:pStyle w:val="null3"/>
                  </w:pPr>
                  <w:r>
                    <w:rPr>
                      <w:rFonts w:ascii="仿宋_GB2312" w:hAnsi="仿宋_GB2312" w:cs="仿宋_GB2312" w:eastAsia="仿宋_GB2312"/>
                      <w:sz w:val="21"/>
                    </w:rPr>
                    <w:t>4.支持表单的层级目录与内容项配置，支持表单格式调整（合并/取消合并、增删行列）。</w:t>
                  </w:r>
                </w:p>
                <w:p>
                  <w:pPr>
                    <w:pStyle w:val="null3"/>
                  </w:pPr>
                  <w:r>
                    <w:rPr>
                      <w:rFonts w:ascii="仿宋_GB2312" w:hAnsi="仿宋_GB2312" w:cs="仿宋_GB2312" w:eastAsia="仿宋_GB2312"/>
                      <w:sz w:val="21"/>
                    </w:rPr>
                    <w:t>5.在线填报可从学科基础数据库直接选取成果并补充手工录入。</w:t>
                  </w:r>
                </w:p>
                <w:p>
                  <w:pPr>
                    <w:pStyle w:val="null3"/>
                  </w:pPr>
                  <w:r>
                    <w:rPr>
                      <w:rFonts w:ascii="仿宋_GB2312" w:hAnsi="仿宋_GB2312" w:cs="仿宋_GB2312" w:eastAsia="仿宋_GB2312"/>
                      <w:sz w:val="21"/>
                    </w:rPr>
                    <w:t>6.提供可视化审核流程配置：新增环节、状态代码与名称、线上签名策略、上一级签名可见性、退回重填。</w:t>
                  </w:r>
                </w:p>
                <w:p>
                  <w:pPr>
                    <w:pStyle w:val="null3"/>
                  </w:pPr>
                  <w:r>
                    <w:rPr>
                      <w:rFonts w:ascii="仿宋_GB2312" w:hAnsi="仿宋_GB2312" w:cs="仿宋_GB2312" w:eastAsia="仿宋_GB2312"/>
                      <w:sz w:val="21"/>
                    </w:rPr>
                    <w:t>7.▲支持批次管理：按年份、批次名称、统计区间配置；一键下达任务（起止时间、学科范围、指导文件）；兼容院系自主申报与学校指定申报。</w:t>
                  </w:r>
                </w:p>
                <w:p>
                  <w:pPr>
                    <w:pStyle w:val="null3"/>
                  </w:pPr>
                  <w:r>
                    <w:rPr>
                      <w:rFonts w:ascii="仿宋_GB2312" w:hAnsi="仿宋_GB2312" w:cs="仿宋_GB2312" w:eastAsia="仿宋_GB2312"/>
                      <w:sz w:val="21"/>
                    </w:rPr>
                    <w:t>8.支持重复性/唯一性校验（如成果、论文、骨干教师等），提示重复数据，可对已提交的数据进行重复性校验结果审核，包括科研成果、论文专著、骨干教师等</w:t>
                  </w:r>
                </w:p>
                <w:p>
                  <w:pPr>
                    <w:pStyle w:val="null3"/>
                  </w:pPr>
                  <w:r>
                    <w:rPr>
                      <w:rFonts w:ascii="仿宋_GB2312" w:hAnsi="仿宋_GB2312" w:cs="仿宋_GB2312" w:eastAsia="仿宋_GB2312"/>
                      <w:sz w:val="21"/>
                    </w:rPr>
                    <w:t>9.对模板、流程、数据的新增/修改/审核/退回提供审计留痕与版本链路。</w:t>
                  </w:r>
                </w:p>
                <w:p>
                  <w:pPr>
                    <w:pStyle w:val="null3"/>
                  </w:pPr>
                  <w:r>
                    <w:rPr>
                      <w:rFonts w:ascii="仿宋_GB2312" w:hAnsi="仿宋_GB2312" w:cs="仿宋_GB2312" w:eastAsia="仿宋_GB2312"/>
                      <w:sz w:val="21"/>
                    </w:rPr>
                    <w:t>10.▲可将各申报数据导出成word/excel格式，生成相应上报数据，以便上报或其他用途。同时也支持生成整体pdf，以供学校备案或评审过程资料。</w:t>
                  </w:r>
                </w:p>
                <w:p>
                  <w:pPr>
                    <w:pStyle w:val="null3"/>
                  </w:pPr>
                  <w:r>
                    <w:rPr>
                      <w:rFonts w:ascii="仿宋_GB2312" w:hAnsi="仿宋_GB2312" w:cs="仿宋_GB2312" w:eastAsia="仿宋_GB2312"/>
                      <w:sz w:val="21"/>
                    </w:rPr>
                    <w:t>11.需支持学科管理相关文件一键下载，将大文本、列表及自定义列表、附件和特殊表单及自定义表单按照对应word、excel、附件和excel格式下载；</w:t>
                  </w:r>
                </w:p>
                <w:p>
                  <w:pPr>
                    <w:pStyle w:val="null3"/>
                  </w:pPr>
                  <w:r>
                    <w:rPr>
                      <w:rFonts w:ascii="仿宋_GB2312" w:hAnsi="仿宋_GB2312" w:cs="仿宋_GB2312" w:eastAsia="仿宋_GB2312"/>
                      <w:sz w:val="21"/>
                    </w:rPr>
                    <w:t>12.支持按时间范围、批次、范围条件快速重生材料，便于复盘与复核。</w:t>
                  </w:r>
                </w:p>
                <w:p>
                  <w:pPr>
                    <w:pStyle w:val="null3"/>
                  </w:pPr>
                  <w:r>
                    <w:rPr>
                      <w:rFonts w:ascii="仿宋_GB2312" w:hAnsi="仿宋_GB2312" w:cs="仿宋_GB2312" w:eastAsia="仿宋_GB2312"/>
                      <w:sz w:val="21"/>
                    </w:rPr>
                    <w:t>13.▲支持学位授权点过程管理中填报表单的生成和导出，表单内容涉及人才培养、师资队伍与资源、科学研究水平、社会服务与学科简介四大类，具体表单要求包括以下内容：</w:t>
                  </w:r>
                </w:p>
                <w:p>
                  <w:pPr>
                    <w:pStyle w:val="null3"/>
                  </w:pPr>
                  <w:r>
                    <w:rPr>
                      <w:rFonts w:ascii="仿宋_GB2312" w:hAnsi="仿宋_GB2312" w:cs="仿宋_GB2312" w:eastAsia="仿宋_GB2312"/>
                      <w:sz w:val="21"/>
                    </w:rPr>
                    <w:t>（1）人才培养质量内容包括：思想政治教育特色与成效、出版教材质量、课程建设与教学质量、学生国际交流情况、在校生代表性成果、学生就业与职业发展质量。</w:t>
                  </w:r>
                </w:p>
                <w:p>
                  <w:pPr>
                    <w:pStyle w:val="null3"/>
                  </w:pPr>
                  <w:r>
                    <w:rPr>
                      <w:rFonts w:ascii="仿宋_GB2312" w:hAnsi="仿宋_GB2312" w:cs="仿宋_GB2312" w:eastAsia="仿宋_GB2312"/>
                      <w:sz w:val="21"/>
                    </w:rPr>
                    <w:t>（2）师资队伍与资源内容包括：师德师风建设机制与成效、师资队伍建设质量、支撑平台与重大仪器设备。其中：</w:t>
                  </w:r>
                </w:p>
                <w:p>
                  <w:pPr>
                    <w:pStyle w:val="null3"/>
                  </w:pPr>
                  <w:r>
                    <w:rPr>
                      <w:rFonts w:ascii="仿宋_GB2312" w:hAnsi="仿宋_GB2312" w:cs="仿宋_GB2312" w:eastAsia="仿宋_GB2312"/>
                      <w:sz w:val="21"/>
                    </w:rPr>
                    <w:t>（3）科学研究水平内容包括：学术论文质量、专利转化情况、科研项目情况、科研获奖情况，其中：</w:t>
                  </w:r>
                </w:p>
                <w:p>
                  <w:pPr>
                    <w:pStyle w:val="null3"/>
                  </w:pPr>
                  <w:r>
                    <w:rPr>
                      <w:rFonts w:ascii="仿宋_GB2312" w:hAnsi="仿宋_GB2312" w:cs="仿宋_GB2312" w:eastAsia="仿宋_GB2312"/>
                      <w:sz w:val="21"/>
                    </w:rPr>
                    <w:t>（4）社会服务与学科简介内容包括：社会服务贡献总体情况、学科简介等。</w:t>
                  </w:r>
                </w:p>
              </w:tc>
            </w:tr>
            <w:tr>
              <w:tc>
                <w:tcPr>
                  <w:tcW w:type="dxa" w:w="593"/>
                  <w:vMerge w:val="restart"/>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b/>
                    </w:rPr>
                    <w:t>2</w:t>
                  </w:r>
                </w:p>
              </w:tc>
              <w:tc>
                <w:tcPr>
                  <w:tcW w:type="dxa" w:w="683"/>
                  <w:vMerge w:val="restart"/>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both"/>
                  </w:pPr>
                  <w:r>
                    <w:rPr>
                      <w:rFonts w:ascii="仿宋_GB2312" w:hAnsi="仿宋_GB2312" w:cs="仿宋_GB2312" w:eastAsia="仿宋_GB2312"/>
                      <w:sz w:val="21"/>
                    </w:rPr>
                    <w:t>人事绩效分析</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建设需求</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ind w:firstLine="420"/>
                    <w:jc w:val="both"/>
                  </w:pPr>
                  <w:r>
                    <w:rPr>
                      <w:rFonts w:ascii="仿宋_GB2312" w:hAnsi="仿宋_GB2312" w:cs="仿宋_GB2312" w:eastAsia="仿宋_GB2312"/>
                      <w:sz w:val="21"/>
                    </w:rPr>
                    <w:t>依托校级数据中心的数据资源，汇聚教师教学与科研等各类业绩数据，构建多维度、多粒度的数据分析模型，开展多角度、多层次的综合分析。系统将为教师年度考核、聘期考核等工作提供真实、准确、结构清晰的数据支撑，全面提升考核工作的科学性、透明度和工作效率。动态掌握全校教师教学科研工作进展，跟踪青年教师成长情况，持续推动教师队伍建设与发展质量的提升。</w:t>
                  </w:r>
                </w:p>
                <w:p>
                  <w:pPr>
                    <w:pStyle w:val="null3"/>
                    <w:ind w:firstLine="420"/>
                    <w:jc w:val="both"/>
                  </w:pPr>
                  <w:r>
                    <w:rPr>
                      <w:rFonts w:ascii="仿宋_GB2312" w:hAnsi="仿宋_GB2312" w:cs="仿宋_GB2312" w:eastAsia="仿宋_GB2312"/>
                      <w:sz w:val="21"/>
                    </w:rPr>
                    <w:t>要求人事绩效可以支持与学科建设分析、科研（纵/横向）、资产情况实现相互钻取和联动。</w:t>
                  </w:r>
                </w:p>
              </w:tc>
            </w:tr>
            <w:tr>
              <w:tc>
                <w:tcPr>
                  <w:tcW w:type="dxa" w:w="593"/>
                  <w:vMerge/>
                  <w:tcBorders>
                    <w:top w:val="none" w:color="000000" w:sz="4"/>
                    <w:left w:val="single" w:color="000000" w:sz="4"/>
                    <w:bottom w:val="single" w:color="000000" w:sz="4"/>
                    <w:right w:val="single" w:color="000000" w:sz="4"/>
                  </w:tcBorders>
                </w:tcPr>
                <w:p/>
              </w:tc>
              <w:tc>
                <w:tcPr>
                  <w:tcW w:type="dxa" w:w="683"/>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数据接入与基础管理</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pPr>
                  <w:r>
                    <w:rPr>
                      <w:rFonts w:ascii="仿宋_GB2312" w:hAnsi="仿宋_GB2312" w:cs="仿宋_GB2312" w:eastAsia="仿宋_GB2312"/>
                      <w:sz w:val="21"/>
                    </w:rPr>
                    <w:t>1.对接校级数据中心，自动汇聚教师各类教学与科研业绩数据，涵盖论文发表、著作出版、科研成果获奖、知识产权、成果鉴定、教材建设、教学成果、质量工程、教研项目以及人才培养等内容。</w:t>
                  </w:r>
                </w:p>
                <w:p>
                  <w:pPr>
                    <w:pStyle w:val="null3"/>
                  </w:pPr>
                  <w:r>
                    <w:rPr>
                      <w:rFonts w:ascii="仿宋_GB2312" w:hAnsi="仿宋_GB2312" w:cs="仿宋_GB2312" w:eastAsia="仿宋_GB2312"/>
                      <w:sz w:val="21"/>
                    </w:rPr>
                    <w:t>2.支持各类业绩数据按教师工号自动归集，并建立统一的业绩分类模型，区分“教学业绩”“科研业绩”等类型，实现结构化归类管理。</w:t>
                  </w:r>
                </w:p>
                <w:p>
                  <w:pPr>
                    <w:pStyle w:val="null3"/>
                  </w:pPr>
                  <w:r>
                    <w:rPr>
                      <w:rFonts w:ascii="仿宋_GB2312" w:hAnsi="仿宋_GB2312" w:cs="仿宋_GB2312" w:eastAsia="仿宋_GB2312"/>
                      <w:sz w:val="21"/>
                    </w:rPr>
                    <w:t>3.数据归属需清晰映射至教师个人，并支持按学院、单位、职称、岗位类别等属性进行标注，便于多维度分析与查询。</w:t>
                  </w:r>
                </w:p>
              </w:tc>
            </w:tr>
            <w:tr>
              <w:tc>
                <w:tcPr>
                  <w:tcW w:type="dxa" w:w="593"/>
                  <w:vMerge/>
                  <w:tcBorders>
                    <w:top w:val="none" w:color="000000" w:sz="4"/>
                    <w:left w:val="single" w:color="000000" w:sz="4"/>
                    <w:bottom w:val="single" w:color="000000" w:sz="4"/>
                    <w:right w:val="single" w:color="000000" w:sz="4"/>
                  </w:tcBorders>
                </w:tcPr>
                <w:p/>
              </w:tc>
              <w:tc>
                <w:tcPr>
                  <w:tcW w:type="dxa" w:w="683"/>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指标体系构建与动态更新</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pPr>
                  <w:r>
                    <w:rPr>
                      <w:rFonts w:ascii="仿宋_GB2312" w:hAnsi="仿宋_GB2312" w:cs="仿宋_GB2312" w:eastAsia="仿宋_GB2312"/>
                      <w:sz w:val="21"/>
                    </w:rPr>
                    <w:t>1.构建满足考核场景的业绩指标体系，支持指标项动态扩展、分类调整、权重设置。</w:t>
                  </w:r>
                </w:p>
                <w:p>
                  <w:pPr>
                    <w:pStyle w:val="null3"/>
                  </w:pPr>
                  <w:r>
                    <w:rPr>
                      <w:rFonts w:ascii="仿宋_GB2312" w:hAnsi="仿宋_GB2312" w:cs="仿宋_GB2312" w:eastAsia="仿宋_GB2312"/>
                      <w:sz w:val="21"/>
                    </w:rPr>
                    <w:t>2.每项指标标注来源系统与来源部门，确保数据真实性与权威性。</w:t>
                  </w:r>
                </w:p>
                <w:p>
                  <w:pPr>
                    <w:pStyle w:val="null3"/>
                  </w:pPr>
                  <w:r>
                    <w:rPr>
                      <w:rFonts w:ascii="仿宋_GB2312" w:hAnsi="仿宋_GB2312" w:cs="仿宋_GB2312" w:eastAsia="仿宋_GB2312"/>
                      <w:sz w:val="21"/>
                    </w:rPr>
                    <w:t>3.支持指标的新增、调整、停用等配置，适配政策变动与评估口径调整。</w:t>
                  </w:r>
                </w:p>
                <w:p>
                  <w:pPr>
                    <w:pStyle w:val="null3"/>
                  </w:pPr>
                  <w:r>
                    <w:rPr>
                      <w:rFonts w:ascii="仿宋_GB2312" w:hAnsi="仿宋_GB2312" w:cs="仿宋_GB2312" w:eastAsia="仿宋_GB2312"/>
                      <w:sz w:val="21"/>
                    </w:rPr>
                    <w:t>4.每项指标可配置数据来源、统计周期、计算逻辑、归属单位、归属维度（教师/学院/岗位类型等），确保定义统一、过程可控。</w:t>
                  </w:r>
                </w:p>
                <w:p>
                  <w:pPr>
                    <w:pStyle w:val="null3"/>
                  </w:pPr>
                  <w:r>
                    <w:rPr>
                      <w:rFonts w:ascii="仿宋_GB2312" w:hAnsi="仿宋_GB2312" w:cs="仿宋_GB2312" w:eastAsia="仿宋_GB2312"/>
                      <w:sz w:val="21"/>
                    </w:rPr>
                    <w:t>5.具体指标要求如下:（在交付环节支持根据实际需求进行调整）</w:t>
                  </w:r>
                </w:p>
                <w:p>
                  <w:pPr>
                    <w:pStyle w:val="null3"/>
                  </w:pPr>
                  <w:r>
                    <w:rPr>
                      <w:rFonts w:ascii="仿宋_GB2312" w:hAnsi="仿宋_GB2312" w:cs="仿宋_GB2312" w:eastAsia="仿宋_GB2312"/>
                      <w:sz w:val="21"/>
                      <w:b/>
                    </w:rPr>
                    <w:t>（1）科研业绩</w:t>
                  </w:r>
                </w:p>
                <w:p>
                  <w:pPr>
                    <w:pStyle w:val="null3"/>
                  </w:pPr>
                  <w:r>
                    <w:rPr>
                      <w:rFonts w:ascii="仿宋_GB2312" w:hAnsi="仿宋_GB2312" w:cs="仿宋_GB2312" w:eastAsia="仿宋_GB2312"/>
                      <w:sz w:val="21"/>
                    </w:rPr>
                    <w:t>1)高质量论文（Cell、Nature、Science等）</w:t>
                  </w:r>
                </w:p>
                <w:p>
                  <w:pPr>
                    <w:pStyle w:val="null3"/>
                  </w:pPr>
                  <w:r>
                    <w:rPr>
                      <w:rFonts w:ascii="仿宋_GB2312" w:hAnsi="仿宋_GB2312" w:cs="仿宋_GB2312" w:eastAsia="仿宋_GB2312"/>
                      <w:sz w:val="21"/>
                    </w:rPr>
                    <w:t>2)被检索论文</w:t>
                  </w:r>
                </w:p>
                <w:p>
                  <w:pPr>
                    <w:pStyle w:val="null3"/>
                  </w:pPr>
                  <w:r>
                    <w:rPr>
                      <w:rFonts w:ascii="仿宋_GB2312" w:hAnsi="仿宋_GB2312" w:cs="仿宋_GB2312" w:eastAsia="仿宋_GB2312"/>
                      <w:sz w:val="21"/>
                    </w:rPr>
                    <w:t>3)被收录论文</w:t>
                  </w:r>
                </w:p>
                <w:p>
                  <w:pPr>
                    <w:pStyle w:val="null3"/>
                  </w:pPr>
                  <w:r>
                    <w:rPr>
                      <w:rFonts w:ascii="仿宋_GB2312" w:hAnsi="仿宋_GB2312" w:cs="仿宋_GB2312" w:eastAsia="仿宋_GB2312"/>
                      <w:sz w:val="21"/>
                    </w:rPr>
                    <w:t>4)被转载论文</w:t>
                  </w:r>
                </w:p>
                <w:p>
                  <w:pPr>
                    <w:pStyle w:val="null3"/>
                  </w:pPr>
                  <w:r>
                    <w:rPr>
                      <w:rFonts w:ascii="仿宋_GB2312" w:hAnsi="仿宋_GB2312" w:cs="仿宋_GB2312" w:eastAsia="仿宋_GB2312"/>
                      <w:sz w:val="21"/>
                    </w:rPr>
                    <w:t>5)发表论文</w:t>
                  </w:r>
                </w:p>
                <w:p>
                  <w:pPr>
                    <w:pStyle w:val="null3"/>
                  </w:pPr>
                  <w:r>
                    <w:rPr>
                      <w:rFonts w:ascii="仿宋_GB2312" w:hAnsi="仿宋_GB2312" w:cs="仿宋_GB2312" w:eastAsia="仿宋_GB2312"/>
                      <w:sz w:val="21"/>
                    </w:rPr>
                    <w:t>6)出版论著</w:t>
                  </w:r>
                </w:p>
                <w:p>
                  <w:pPr>
                    <w:pStyle w:val="null3"/>
                  </w:pPr>
                  <w:r>
                    <w:rPr>
                      <w:rFonts w:ascii="仿宋_GB2312" w:hAnsi="仿宋_GB2312" w:cs="仿宋_GB2312" w:eastAsia="仿宋_GB2312"/>
                      <w:sz w:val="21"/>
                    </w:rPr>
                    <w:t>7)国家级科研获奖（国家科技进步奖、国家自然科学奖、国家技术发明奖、光华工程科技奖等）</w:t>
                  </w:r>
                </w:p>
                <w:p>
                  <w:pPr>
                    <w:pStyle w:val="null3"/>
                  </w:pPr>
                  <w:r>
                    <w:rPr>
                      <w:rFonts w:ascii="仿宋_GB2312" w:hAnsi="仿宋_GB2312" w:cs="仿宋_GB2312" w:eastAsia="仿宋_GB2312"/>
                      <w:sz w:val="21"/>
                    </w:rPr>
                    <w:t>8)学校认可的学会、协会科学技术奖（特等、一等、二等）</w:t>
                  </w:r>
                </w:p>
                <w:p>
                  <w:pPr>
                    <w:pStyle w:val="null3"/>
                  </w:pPr>
                  <w:r>
                    <w:rPr>
                      <w:rFonts w:ascii="仿宋_GB2312" w:hAnsi="仿宋_GB2312" w:cs="仿宋_GB2312" w:eastAsia="仿宋_GB2312"/>
                      <w:sz w:val="21"/>
                    </w:rPr>
                    <w:t>9)省部级科研成果获奖</w:t>
                  </w:r>
                </w:p>
                <w:p>
                  <w:pPr>
                    <w:pStyle w:val="null3"/>
                  </w:pPr>
                  <w:r>
                    <w:rPr>
                      <w:rFonts w:ascii="仿宋_GB2312" w:hAnsi="仿宋_GB2312" w:cs="仿宋_GB2312" w:eastAsia="仿宋_GB2312"/>
                      <w:sz w:val="21"/>
                    </w:rPr>
                    <w:t>10)厅局级科研成果获奖</w:t>
                  </w:r>
                </w:p>
                <w:p>
                  <w:pPr>
                    <w:pStyle w:val="null3"/>
                  </w:pPr>
                  <w:r>
                    <w:rPr>
                      <w:rFonts w:ascii="仿宋_GB2312" w:hAnsi="仿宋_GB2312" w:cs="仿宋_GB2312" w:eastAsia="仿宋_GB2312"/>
                      <w:sz w:val="21"/>
                    </w:rPr>
                    <w:t>11)成果转化收益/科研成果作价入股</w:t>
                  </w:r>
                </w:p>
                <w:p>
                  <w:pPr>
                    <w:pStyle w:val="null3"/>
                  </w:pPr>
                  <w:r>
                    <w:rPr>
                      <w:rFonts w:ascii="仿宋_GB2312" w:hAnsi="仿宋_GB2312" w:cs="仿宋_GB2312" w:eastAsia="仿宋_GB2312"/>
                      <w:sz w:val="21"/>
                    </w:rPr>
                    <w:t>12)获得发明/实用新型专利</w:t>
                  </w:r>
                </w:p>
                <w:p>
                  <w:pPr>
                    <w:pStyle w:val="null3"/>
                  </w:pPr>
                  <w:r>
                    <w:rPr>
                      <w:rFonts w:ascii="仿宋_GB2312" w:hAnsi="仿宋_GB2312" w:cs="仿宋_GB2312" w:eastAsia="仿宋_GB2312"/>
                      <w:sz w:val="21"/>
                    </w:rPr>
                    <w:t>13)软件著作权</w:t>
                  </w:r>
                </w:p>
                <w:p>
                  <w:pPr>
                    <w:pStyle w:val="null3"/>
                  </w:pPr>
                  <w:r>
                    <w:rPr>
                      <w:rFonts w:ascii="仿宋_GB2312" w:hAnsi="仿宋_GB2312" w:cs="仿宋_GB2312" w:eastAsia="仿宋_GB2312"/>
                      <w:sz w:val="21"/>
                    </w:rPr>
                    <w:t>14)智库成果（中共中央办公厅《观点摘编》、《新华社内参》；全国哲学社会科学办公室《成果要报》、全国教科规划办《教育成果要报》、《教育部简报》等）</w:t>
                  </w:r>
                </w:p>
                <w:p>
                  <w:pPr>
                    <w:pStyle w:val="null3"/>
                  </w:pPr>
                  <w:r>
                    <w:rPr>
                      <w:rFonts w:ascii="仿宋_GB2312" w:hAnsi="仿宋_GB2312" w:cs="仿宋_GB2312" w:eastAsia="仿宋_GB2312"/>
                      <w:sz w:val="21"/>
                    </w:rPr>
                    <w:t>15)资政建言（成果建议、咨询报告获党和国家领导人肯定性批示；省委省政府主要领导获国务院部委主要领导肯定性批示等）</w:t>
                  </w:r>
                </w:p>
                <w:p>
                  <w:pPr>
                    <w:pStyle w:val="null3"/>
                  </w:pPr>
                  <w:r>
                    <w:rPr>
                      <w:rFonts w:ascii="仿宋_GB2312" w:hAnsi="仿宋_GB2312" w:cs="仿宋_GB2312" w:eastAsia="仿宋_GB2312"/>
                      <w:sz w:val="21"/>
                    </w:rPr>
                    <w:t>16)制定标准（做为主编单位或主要完成人参与行业标准、省级地方标准或协会标准等）</w:t>
                  </w:r>
                </w:p>
                <w:p>
                  <w:pPr>
                    <w:pStyle w:val="null3"/>
                  </w:pPr>
                  <w:r>
                    <w:rPr>
                      <w:rFonts w:ascii="仿宋_GB2312" w:hAnsi="仿宋_GB2312" w:cs="仿宋_GB2312" w:eastAsia="仿宋_GB2312"/>
                      <w:sz w:val="21"/>
                    </w:rPr>
                    <w:t>17)国家级项目立项</w:t>
                  </w:r>
                </w:p>
                <w:p>
                  <w:pPr>
                    <w:pStyle w:val="null3"/>
                  </w:pPr>
                  <w:r>
                    <w:rPr>
                      <w:rFonts w:ascii="仿宋_GB2312" w:hAnsi="仿宋_GB2312" w:cs="仿宋_GB2312" w:eastAsia="仿宋_GB2312"/>
                      <w:sz w:val="21"/>
                    </w:rPr>
                    <w:t>18)省部级项目立项</w:t>
                  </w:r>
                </w:p>
                <w:p>
                  <w:pPr>
                    <w:pStyle w:val="null3"/>
                  </w:pPr>
                  <w:r>
                    <w:rPr>
                      <w:rFonts w:ascii="仿宋_GB2312" w:hAnsi="仿宋_GB2312" w:cs="仿宋_GB2312" w:eastAsia="仿宋_GB2312"/>
                      <w:sz w:val="21"/>
                    </w:rPr>
                    <w:t>19)厅局级项目立项</w:t>
                  </w:r>
                </w:p>
                <w:p>
                  <w:pPr>
                    <w:pStyle w:val="null3"/>
                  </w:pPr>
                  <w:r>
                    <w:rPr>
                      <w:rFonts w:ascii="仿宋_GB2312" w:hAnsi="仿宋_GB2312" w:cs="仿宋_GB2312" w:eastAsia="仿宋_GB2312"/>
                      <w:sz w:val="21"/>
                    </w:rPr>
                    <w:t>20)纵向项目科研到款额</w:t>
                  </w:r>
                </w:p>
                <w:p>
                  <w:pPr>
                    <w:pStyle w:val="null3"/>
                  </w:pPr>
                  <w:r>
                    <w:rPr>
                      <w:rFonts w:ascii="仿宋_GB2312" w:hAnsi="仿宋_GB2312" w:cs="仿宋_GB2312" w:eastAsia="仿宋_GB2312"/>
                      <w:sz w:val="21"/>
                    </w:rPr>
                    <w:t>21)横向项目科研到款额</w:t>
                  </w:r>
                </w:p>
                <w:p>
                  <w:pPr>
                    <w:pStyle w:val="null3"/>
                  </w:pPr>
                  <w:r>
                    <w:rPr>
                      <w:rFonts w:ascii="仿宋_GB2312" w:hAnsi="仿宋_GB2312" w:cs="仿宋_GB2312" w:eastAsia="仿宋_GB2312"/>
                      <w:sz w:val="21"/>
                    </w:rPr>
                    <w:t>22)重点科研平台（全国重点实验室、国家工程研究中心、国家人文社科重点研究平台等）</w:t>
                  </w:r>
                </w:p>
                <w:p>
                  <w:pPr>
                    <w:pStyle w:val="null3"/>
                  </w:pPr>
                  <w:r>
                    <w:rPr>
                      <w:rFonts w:ascii="仿宋_GB2312" w:hAnsi="仿宋_GB2312" w:cs="仿宋_GB2312" w:eastAsia="仿宋_GB2312"/>
                      <w:sz w:val="21"/>
                    </w:rPr>
                    <w:t>23)成果转化（我校获得科技成果转化分红或股权转让收益情况）</w:t>
                  </w:r>
                </w:p>
                <w:p>
                  <w:pPr>
                    <w:pStyle w:val="null3"/>
                  </w:pPr>
                  <w:r>
                    <w:rPr>
                      <w:rFonts w:ascii="仿宋_GB2312" w:hAnsi="仿宋_GB2312" w:cs="仿宋_GB2312" w:eastAsia="仿宋_GB2312"/>
                      <w:sz w:val="21"/>
                      <w:b/>
                    </w:rPr>
                    <w:t>（2）教学业绩</w:t>
                  </w:r>
                </w:p>
                <w:p>
                  <w:pPr>
                    <w:pStyle w:val="null3"/>
                  </w:pPr>
                  <w:r>
                    <w:rPr>
                      <w:rFonts w:ascii="仿宋_GB2312" w:hAnsi="仿宋_GB2312" w:cs="仿宋_GB2312" w:eastAsia="仿宋_GB2312"/>
                      <w:sz w:val="21"/>
                    </w:rPr>
                    <w:t>1)本科生课堂教学课程门数</w:t>
                  </w:r>
                </w:p>
                <w:p>
                  <w:pPr>
                    <w:pStyle w:val="null3"/>
                  </w:pPr>
                  <w:r>
                    <w:rPr>
                      <w:rFonts w:ascii="仿宋_GB2312" w:hAnsi="仿宋_GB2312" w:cs="仿宋_GB2312" w:eastAsia="仿宋_GB2312"/>
                      <w:sz w:val="21"/>
                    </w:rPr>
                    <w:t>2)课堂教学工作量</w:t>
                  </w:r>
                </w:p>
                <w:p>
                  <w:pPr>
                    <w:pStyle w:val="null3"/>
                  </w:pPr>
                  <w:r>
                    <w:rPr>
                      <w:rFonts w:ascii="仿宋_GB2312" w:hAnsi="仿宋_GB2312" w:cs="仿宋_GB2312" w:eastAsia="仿宋_GB2312"/>
                      <w:sz w:val="21"/>
                    </w:rPr>
                    <w:t>3)编写国家级规划教材</w:t>
                  </w:r>
                </w:p>
                <w:p>
                  <w:pPr>
                    <w:pStyle w:val="null3"/>
                  </w:pPr>
                  <w:r>
                    <w:rPr>
                      <w:rFonts w:ascii="仿宋_GB2312" w:hAnsi="仿宋_GB2312" w:cs="仿宋_GB2312" w:eastAsia="仿宋_GB2312"/>
                      <w:sz w:val="21"/>
                    </w:rPr>
                    <w:t>4)编写国家级出版社出版教材</w:t>
                  </w:r>
                </w:p>
                <w:p>
                  <w:pPr>
                    <w:pStyle w:val="null3"/>
                  </w:pPr>
                  <w:r>
                    <w:rPr>
                      <w:rFonts w:ascii="仿宋_GB2312" w:hAnsi="仿宋_GB2312" w:cs="仿宋_GB2312" w:eastAsia="仿宋_GB2312"/>
                      <w:sz w:val="21"/>
                    </w:rPr>
                    <w:t>5)编写其他出版社出版教材</w:t>
                  </w:r>
                </w:p>
                <w:p>
                  <w:pPr>
                    <w:pStyle w:val="null3"/>
                  </w:pPr>
                  <w:r>
                    <w:rPr>
                      <w:rFonts w:ascii="仿宋_GB2312" w:hAnsi="仿宋_GB2312" w:cs="仿宋_GB2312" w:eastAsia="仿宋_GB2312"/>
                      <w:sz w:val="21"/>
                    </w:rPr>
                    <w:t>6)国家级教学成果奖</w:t>
                  </w:r>
                </w:p>
                <w:p>
                  <w:pPr>
                    <w:pStyle w:val="null3"/>
                  </w:pPr>
                  <w:r>
                    <w:rPr>
                      <w:rFonts w:ascii="仿宋_GB2312" w:hAnsi="仿宋_GB2312" w:cs="仿宋_GB2312" w:eastAsia="仿宋_GB2312"/>
                      <w:sz w:val="21"/>
                    </w:rPr>
                    <w:t>7)省部级教学成果奖</w:t>
                  </w:r>
                </w:p>
                <w:p>
                  <w:pPr>
                    <w:pStyle w:val="null3"/>
                  </w:pPr>
                  <w:r>
                    <w:rPr>
                      <w:rFonts w:ascii="仿宋_GB2312" w:hAnsi="仿宋_GB2312" w:cs="仿宋_GB2312" w:eastAsia="仿宋_GB2312"/>
                      <w:sz w:val="21"/>
                    </w:rPr>
                    <w:t>8)校级教学成果奖</w:t>
                  </w:r>
                </w:p>
                <w:p>
                  <w:pPr>
                    <w:pStyle w:val="null3"/>
                  </w:pPr>
                  <w:r>
                    <w:rPr>
                      <w:rFonts w:ascii="仿宋_GB2312" w:hAnsi="仿宋_GB2312" w:cs="仿宋_GB2312" w:eastAsia="仿宋_GB2312"/>
                      <w:sz w:val="21"/>
                    </w:rPr>
                    <w:t>9)国家级质量工程</w:t>
                  </w:r>
                </w:p>
                <w:p>
                  <w:pPr>
                    <w:pStyle w:val="null3"/>
                  </w:pPr>
                  <w:r>
                    <w:rPr>
                      <w:rFonts w:ascii="仿宋_GB2312" w:hAnsi="仿宋_GB2312" w:cs="仿宋_GB2312" w:eastAsia="仿宋_GB2312"/>
                      <w:sz w:val="21"/>
                    </w:rPr>
                    <w:t>10)省级质量工程</w:t>
                  </w:r>
                </w:p>
                <w:p>
                  <w:pPr>
                    <w:pStyle w:val="null3"/>
                  </w:pPr>
                  <w:r>
                    <w:rPr>
                      <w:rFonts w:ascii="仿宋_GB2312" w:hAnsi="仿宋_GB2312" w:cs="仿宋_GB2312" w:eastAsia="仿宋_GB2312"/>
                      <w:sz w:val="21"/>
                    </w:rPr>
                    <w:t>11)校级质量工程</w:t>
                  </w:r>
                </w:p>
                <w:p>
                  <w:pPr>
                    <w:pStyle w:val="null3"/>
                  </w:pPr>
                  <w:r>
                    <w:rPr>
                      <w:rFonts w:ascii="仿宋_GB2312" w:hAnsi="仿宋_GB2312" w:cs="仿宋_GB2312" w:eastAsia="仿宋_GB2312"/>
                      <w:sz w:val="21"/>
                    </w:rPr>
                    <w:t>12)国家级教学研究项目</w:t>
                  </w:r>
                </w:p>
                <w:p>
                  <w:pPr>
                    <w:pStyle w:val="null3"/>
                  </w:pPr>
                  <w:r>
                    <w:rPr>
                      <w:rFonts w:ascii="仿宋_GB2312" w:hAnsi="仿宋_GB2312" w:cs="仿宋_GB2312" w:eastAsia="仿宋_GB2312"/>
                      <w:sz w:val="21"/>
                    </w:rPr>
                    <w:t>13)省部级教学研究项目</w:t>
                  </w:r>
                </w:p>
                <w:p>
                  <w:pPr>
                    <w:pStyle w:val="null3"/>
                  </w:pPr>
                  <w:r>
                    <w:rPr>
                      <w:rFonts w:ascii="仿宋_GB2312" w:hAnsi="仿宋_GB2312" w:cs="仿宋_GB2312" w:eastAsia="仿宋_GB2312"/>
                      <w:sz w:val="21"/>
                    </w:rPr>
                    <w:t>14)学生竞赛获奖（挑战杯、或联网＋等）</w:t>
                  </w:r>
                </w:p>
                <w:p>
                  <w:pPr>
                    <w:pStyle w:val="null3"/>
                  </w:pPr>
                  <w:r>
                    <w:rPr>
                      <w:rFonts w:ascii="仿宋_GB2312" w:hAnsi="仿宋_GB2312" w:cs="仿宋_GB2312" w:eastAsia="仿宋_GB2312"/>
                      <w:sz w:val="21"/>
                    </w:rPr>
                    <w:t>15)教师校外教学技能竞赛获奖</w:t>
                  </w:r>
                </w:p>
                <w:p>
                  <w:pPr>
                    <w:pStyle w:val="null3"/>
                  </w:pPr>
                  <w:r>
                    <w:rPr>
                      <w:rFonts w:ascii="仿宋_GB2312" w:hAnsi="仿宋_GB2312" w:cs="仿宋_GB2312" w:eastAsia="仿宋_GB2312"/>
                      <w:sz w:val="21"/>
                      <w:b/>
                    </w:rPr>
                    <w:t>（3）博士后工作</w:t>
                  </w:r>
                </w:p>
                <w:p>
                  <w:pPr>
                    <w:pStyle w:val="null3"/>
                  </w:pPr>
                  <w:r>
                    <w:rPr>
                      <w:rFonts w:ascii="仿宋_GB2312" w:hAnsi="仿宋_GB2312" w:cs="仿宋_GB2312" w:eastAsia="仿宋_GB2312"/>
                      <w:sz w:val="21"/>
                    </w:rPr>
                    <w:t>1)接收博士进博士后流动站人数</w:t>
                  </w:r>
                </w:p>
                <w:p>
                  <w:pPr>
                    <w:pStyle w:val="null3"/>
                  </w:pPr>
                  <w:r>
                    <w:rPr>
                      <w:rFonts w:ascii="仿宋_GB2312" w:hAnsi="仿宋_GB2312" w:cs="仿宋_GB2312" w:eastAsia="仿宋_GB2312"/>
                      <w:sz w:val="21"/>
                    </w:rPr>
                    <w:t>2)博士后创新创业大赛获奖（国家级、省级金奖、银奖、铜奖）</w:t>
                  </w:r>
                </w:p>
              </w:tc>
            </w:tr>
            <w:tr>
              <w:tc>
                <w:tcPr>
                  <w:tcW w:type="dxa" w:w="593"/>
                  <w:vMerge/>
                  <w:tcBorders>
                    <w:top w:val="none" w:color="000000" w:sz="4"/>
                    <w:left w:val="single" w:color="000000" w:sz="4"/>
                    <w:bottom w:val="single" w:color="000000" w:sz="4"/>
                    <w:right w:val="single" w:color="000000" w:sz="4"/>
                  </w:tcBorders>
                </w:tcPr>
                <w:p/>
              </w:tc>
              <w:tc>
                <w:tcPr>
                  <w:tcW w:type="dxa" w:w="683"/>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多维分析展示</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pPr>
                  <w:r>
                    <w:rPr>
                      <w:rFonts w:ascii="仿宋_GB2312" w:hAnsi="仿宋_GB2312" w:cs="仿宋_GB2312" w:eastAsia="仿宋_GB2312"/>
                      <w:sz w:val="21"/>
                    </w:rPr>
                    <w:t>1.至少包括学校、学院、个人三个数据驾驶舱；</w:t>
                  </w:r>
                </w:p>
                <w:p>
                  <w:pPr>
                    <w:pStyle w:val="null3"/>
                  </w:pPr>
                  <w:r>
                    <w:rPr>
                      <w:rFonts w:ascii="仿宋_GB2312" w:hAnsi="仿宋_GB2312" w:cs="仿宋_GB2312" w:eastAsia="仿宋_GB2312"/>
                      <w:sz w:val="21"/>
                    </w:rPr>
                    <w:t>2.支持从教师、学院、职称、岗位类别、时间区段等多个维度对教师教学科研业绩进行统计与分析。</w:t>
                  </w:r>
                </w:p>
                <w:p>
                  <w:pPr>
                    <w:pStyle w:val="null3"/>
                  </w:pPr>
                  <w:r>
                    <w:rPr>
                      <w:rFonts w:ascii="仿宋_GB2312" w:hAnsi="仿宋_GB2312" w:cs="仿宋_GB2312" w:eastAsia="仿宋_GB2312"/>
                      <w:sz w:val="21"/>
                    </w:rPr>
                    <w:t>3.针对年度考核与聘期考核场景，提供学院指标完成度、聘期达标率、业绩增长趋势等分析展示。</w:t>
                  </w:r>
                </w:p>
                <w:p>
                  <w:pPr>
                    <w:pStyle w:val="null3"/>
                  </w:pPr>
                  <w:r>
                    <w:rPr>
                      <w:rFonts w:ascii="仿宋_GB2312" w:hAnsi="仿宋_GB2312" w:cs="仿宋_GB2312" w:eastAsia="仿宋_GB2312"/>
                      <w:sz w:val="21"/>
                    </w:rPr>
                    <w:t>4.可生成结构化统计报表，如：学院教学工作量完成情况、重点岗位教师科研贡献情况、高级职称人员业绩概览等。</w:t>
                  </w:r>
                </w:p>
                <w:p>
                  <w:pPr>
                    <w:pStyle w:val="null3"/>
                  </w:pPr>
                  <w:r>
                    <w:rPr>
                      <w:rFonts w:ascii="仿宋_GB2312" w:hAnsi="仿宋_GB2312" w:cs="仿宋_GB2312" w:eastAsia="仿宋_GB2312"/>
                      <w:sz w:val="21"/>
                    </w:rPr>
                    <w:t>5.支持可视化图表展示（柱状图、堆积图、趋势图等），可按需切换视角、对比对象和时间粒度。</w:t>
                  </w:r>
                </w:p>
                <w:p>
                  <w:pPr>
                    <w:pStyle w:val="null3"/>
                  </w:pPr>
                  <w:r>
                    <w:rPr>
                      <w:rFonts w:ascii="仿宋_GB2312" w:hAnsi="仿宋_GB2312" w:cs="仿宋_GB2312" w:eastAsia="仿宋_GB2312"/>
                      <w:sz w:val="21"/>
                    </w:rPr>
                    <w:t>6.分析结果支持多级下钻功能，可从整体层面逐层下钻至学院、教师个体。</w:t>
                  </w:r>
                </w:p>
                <w:p>
                  <w:pPr>
                    <w:pStyle w:val="null3"/>
                  </w:pPr>
                  <w:r>
                    <w:rPr>
                      <w:rFonts w:ascii="仿宋_GB2312" w:hAnsi="仿宋_GB2312" w:cs="仿宋_GB2312" w:eastAsia="仿宋_GB2312"/>
                      <w:sz w:val="21"/>
                    </w:rPr>
                    <w:t>7.根据学校科研业绩和教学业绩的考核要求，基于学校已有的教师业绩明细数据构建人事绩效分析的校级、院级、个人级三级下钻驾驶舱，可以根据不同层级视角的管理需求进行相关统计指标的可视化呈现，助力精细化管理。</w:t>
                  </w:r>
                </w:p>
                <w:p>
                  <w:pPr>
                    <w:pStyle w:val="null3"/>
                  </w:pPr>
                  <w:r>
                    <w:rPr>
                      <w:rFonts w:ascii="仿宋_GB2312" w:hAnsi="仿宋_GB2312" w:cs="仿宋_GB2312" w:eastAsia="仿宋_GB2312"/>
                      <w:sz w:val="21"/>
                    </w:rPr>
                    <w:t>8.驾驶舱应支持将关键指标的当前数据，与国家标准或学校自定发展目标进行对比展示，清晰呈现当前水平、目标值及差距情况，辅助管理者掌握学校发展定位与阶段性成效。</w:t>
                  </w:r>
                </w:p>
              </w:tc>
            </w:tr>
            <w:tr>
              <w:tc>
                <w:tcPr>
                  <w:tcW w:type="dxa" w:w="593"/>
                  <w:vMerge w:val="restart"/>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both"/>
                  </w:pPr>
                  <w:r>
                    <w:rPr>
                      <w:rFonts w:ascii="仿宋_GB2312" w:hAnsi="仿宋_GB2312" w:cs="仿宋_GB2312" w:eastAsia="仿宋_GB2312"/>
                      <w:sz w:val="21"/>
                      <w:b/>
                    </w:rPr>
                    <w:t>3</w:t>
                  </w:r>
                </w:p>
              </w:tc>
              <w:tc>
                <w:tcPr>
                  <w:tcW w:type="dxa" w:w="683"/>
                  <w:vMerge w:val="restart"/>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both"/>
                  </w:pPr>
                  <w:r>
                    <w:rPr>
                      <w:rFonts w:ascii="仿宋_GB2312" w:hAnsi="仿宋_GB2312" w:cs="仿宋_GB2312" w:eastAsia="仿宋_GB2312"/>
                      <w:sz w:val="21"/>
                    </w:rPr>
                    <w:t>横向项目分析</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建设目标</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ind w:firstLine="420"/>
                  </w:pPr>
                  <w:r>
                    <w:rPr>
                      <w:rFonts w:ascii="仿宋_GB2312" w:hAnsi="仿宋_GB2312" w:cs="仿宋_GB2312" w:eastAsia="仿宋_GB2312"/>
                      <w:sz w:val="21"/>
                    </w:rPr>
                    <w:t>依托校级数据中心的科研类数据资源，围绕横向科研项目、到账经费、项目负责人等关键要素，开展多角度、多层次的综合分析。系统将构建多维度、多粒度的数据分析模型，全面揭示横向科研发展态势、区域产业契合度及各学院科研投入与产出的差异性。通过可视化、结构化的数据呈现，为学校管理层提供科学、高效的科研管理决策支撑，提升科研服务效能与管理针对性，助力学校深化院校两级改革，落实“一院一策”的科研发展策略。</w:t>
                  </w:r>
                </w:p>
                <w:p>
                  <w:pPr>
                    <w:pStyle w:val="null3"/>
                    <w:ind w:firstLine="420"/>
                  </w:pPr>
                  <w:r>
                    <w:rPr>
                      <w:rFonts w:ascii="仿宋_GB2312" w:hAnsi="仿宋_GB2312" w:cs="仿宋_GB2312" w:eastAsia="仿宋_GB2312"/>
                      <w:sz w:val="21"/>
                    </w:rPr>
                    <w:t>要求横向项目分析可以与学科建设分析、人事绩效、纵向项目分析、资产情况实现相互钻取和联动。</w:t>
                  </w:r>
                </w:p>
              </w:tc>
            </w:tr>
            <w:tr>
              <w:tc>
                <w:tcPr>
                  <w:tcW w:type="dxa" w:w="593"/>
                  <w:vMerge/>
                  <w:tcBorders>
                    <w:top w:val="none" w:color="000000" w:sz="4"/>
                    <w:left w:val="single" w:color="000000" w:sz="4"/>
                    <w:bottom w:val="single" w:color="000000" w:sz="4"/>
                    <w:right w:val="single" w:color="000000" w:sz="4"/>
                  </w:tcBorders>
                </w:tcPr>
                <w:p/>
              </w:tc>
              <w:tc>
                <w:tcPr>
                  <w:tcW w:type="dxa" w:w="683"/>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数据接入与基础管理</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pPr>
                  <w:r>
                    <w:rPr>
                      <w:rFonts w:ascii="仿宋_GB2312" w:hAnsi="仿宋_GB2312" w:cs="仿宋_GB2312" w:eastAsia="仿宋_GB2312"/>
                      <w:sz w:val="21"/>
                    </w:rPr>
                    <w:t>1.对接校级数据中心，自动汇聚与横向科研项目相关的各类数据资源，包括项目信息、到账经费、项目人员、合作单位等内容。</w:t>
                  </w:r>
                </w:p>
                <w:p>
                  <w:pPr>
                    <w:pStyle w:val="null3"/>
                  </w:pPr>
                  <w:r>
                    <w:rPr>
                      <w:rFonts w:ascii="仿宋_GB2312" w:hAnsi="仿宋_GB2312" w:cs="仿宋_GB2312" w:eastAsia="仿宋_GB2312"/>
                      <w:sz w:val="21"/>
                    </w:rPr>
                    <w:t>2.·构建横向科研项目数据模型，清晰关联项目基本信息、合同金额、到账金额、负责人、所属学院、合作单位、学科门类、人员类型、所属产业领域等核心字段。</w:t>
                  </w:r>
                </w:p>
                <w:p>
                  <w:pPr>
                    <w:pStyle w:val="null3"/>
                  </w:pPr>
                  <w:r>
                    <w:rPr>
                      <w:rFonts w:ascii="仿宋_GB2312" w:hAnsi="仿宋_GB2312" w:cs="仿宋_GB2312" w:eastAsia="仿宋_GB2312"/>
                      <w:sz w:val="21"/>
                    </w:rPr>
                    <w:t>3.确保每项项目数据具备明确的归属关系（如学院、负责人、经费状态等），并支持基于关键字段进行下钻分析。</w:t>
                  </w:r>
                </w:p>
              </w:tc>
            </w:tr>
            <w:tr>
              <w:tc>
                <w:tcPr>
                  <w:tcW w:type="dxa" w:w="593"/>
                  <w:vMerge/>
                  <w:tcBorders>
                    <w:top w:val="none" w:color="000000" w:sz="4"/>
                    <w:left w:val="single" w:color="000000" w:sz="4"/>
                    <w:bottom w:val="single" w:color="000000" w:sz="4"/>
                    <w:right w:val="single" w:color="000000" w:sz="4"/>
                  </w:tcBorders>
                </w:tcPr>
                <w:p/>
              </w:tc>
              <w:tc>
                <w:tcPr>
                  <w:tcW w:type="dxa" w:w="683"/>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指标体系构建与动态更新</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pPr>
                  <w:r>
                    <w:rPr>
                      <w:rFonts w:ascii="仿宋_GB2312" w:hAnsi="仿宋_GB2312" w:cs="仿宋_GB2312" w:eastAsia="仿宋_GB2312"/>
                      <w:sz w:val="21"/>
                    </w:rPr>
                    <w:t>1.构建面向横向科研业务的指标体系，涵盖项目数量、到账金额、项目结构、负责人画像、产业匹配度、合作单位情况等分析主题。</w:t>
                  </w:r>
                </w:p>
                <w:p>
                  <w:pPr>
                    <w:pStyle w:val="null3"/>
                  </w:pPr>
                  <w:r>
                    <w:rPr>
                      <w:rFonts w:ascii="仿宋_GB2312" w:hAnsi="仿宋_GB2312" w:cs="仿宋_GB2312" w:eastAsia="仿宋_GB2312"/>
                      <w:sz w:val="21"/>
                    </w:rPr>
                    <w:t>2.支持指标的动态管理功能：具备新增、调整、停用等配置能力，满足政策变动及评估口径变化下的指标迭代。</w:t>
                  </w:r>
                </w:p>
                <w:p>
                  <w:pPr>
                    <w:pStyle w:val="null3"/>
                  </w:pPr>
                  <w:r>
                    <w:rPr>
                      <w:rFonts w:ascii="仿宋_GB2312" w:hAnsi="仿宋_GB2312" w:cs="仿宋_GB2312" w:eastAsia="仿宋_GB2312"/>
                      <w:sz w:val="21"/>
                    </w:rPr>
                    <w:t>3.每个指标支持配置其基础属性，包括数据来源、统计周期、计算逻辑、归属单位、归属维度（如负责人、合作单位、产业链条等），确保指标定义统一、来源明确、过程可控。</w:t>
                  </w:r>
                </w:p>
                <w:p>
                  <w:pPr>
                    <w:pStyle w:val="null3"/>
                  </w:pPr>
                  <w:r>
                    <w:rPr>
                      <w:rFonts w:ascii="仿宋_GB2312" w:hAnsi="仿宋_GB2312" w:cs="仿宋_GB2312" w:eastAsia="仿宋_GB2312"/>
                      <w:sz w:val="21"/>
                    </w:rPr>
                    <w:t>4.具体指标要求如下(在交付环节支持根据实际需求进行调整）：</w:t>
                  </w:r>
                </w:p>
                <w:p>
                  <w:pPr>
                    <w:pStyle w:val="null3"/>
                  </w:pPr>
                  <w:r>
                    <w:rPr>
                      <w:rFonts w:ascii="仿宋_GB2312" w:hAnsi="仿宋_GB2312" w:cs="仿宋_GB2312" w:eastAsia="仿宋_GB2312"/>
                      <w:sz w:val="21"/>
                    </w:rPr>
                    <w:t>1)横向科研项目在全部科研项目中的数量和占比</w:t>
                  </w:r>
                </w:p>
                <w:p>
                  <w:pPr>
                    <w:pStyle w:val="null3"/>
                  </w:pPr>
                  <w:r>
                    <w:rPr>
                      <w:rFonts w:ascii="仿宋_GB2312" w:hAnsi="仿宋_GB2312" w:cs="仿宋_GB2312" w:eastAsia="仿宋_GB2312"/>
                      <w:sz w:val="21"/>
                    </w:rPr>
                    <w:t>2)横向科研项目中，不同金额(分为合同金额和到款金额)的数量分布和占比</w:t>
                  </w:r>
                </w:p>
                <w:p>
                  <w:pPr>
                    <w:pStyle w:val="null3"/>
                  </w:pPr>
                  <w:r>
                    <w:rPr>
                      <w:rFonts w:ascii="仿宋_GB2312" w:hAnsi="仿宋_GB2312" w:cs="仿宋_GB2312" w:eastAsia="仿宋_GB2312"/>
                      <w:sz w:val="21"/>
                    </w:rPr>
                    <w:t>3)横向科研项目中，各种来源的数量分布和占比</w:t>
                  </w:r>
                </w:p>
                <w:p>
                  <w:pPr>
                    <w:pStyle w:val="null3"/>
                  </w:pPr>
                  <w:r>
                    <w:rPr>
                      <w:rFonts w:ascii="仿宋_GB2312" w:hAnsi="仿宋_GB2312" w:cs="仿宋_GB2312" w:eastAsia="仿宋_GB2312"/>
                      <w:sz w:val="21"/>
                    </w:rPr>
                    <w:t>4)横向科研项目中，各种状态的数量分布和占比</w:t>
                  </w:r>
                </w:p>
                <w:p>
                  <w:pPr>
                    <w:pStyle w:val="null3"/>
                  </w:pPr>
                  <w:r>
                    <w:rPr>
                      <w:rFonts w:ascii="仿宋_GB2312" w:hAnsi="仿宋_GB2312" w:cs="仿宋_GB2312" w:eastAsia="仿宋_GB2312"/>
                      <w:sz w:val="21"/>
                    </w:rPr>
                    <w:t>5)横向科研项目中，各个学科门类的数量分布和占比</w:t>
                  </w:r>
                </w:p>
                <w:p>
                  <w:pPr>
                    <w:pStyle w:val="null3"/>
                  </w:pPr>
                  <w:r>
                    <w:rPr>
                      <w:rFonts w:ascii="仿宋_GB2312" w:hAnsi="仿宋_GB2312" w:cs="仿宋_GB2312" w:eastAsia="仿宋_GB2312"/>
                      <w:sz w:val="21"/>
                    </w:rPr>
                    <w:t>6)横向科研项目中，各种人员类型（本校/外校/教师/学生）的数量分布和占比</w:t>
                  </w:r>
                </w:p>
                <w:p>
                  <w:pPr>
                    <w:pStyle w:val="null3"/>
                  </w:pPr>
                  <w:r>
                    <w:rPr>
                      <w:rFonts w:ascii="仿宋_GB2312" w:hAnsi="仿宋_GB2312" w:cs="仿宋_GB2312" w:eastAsia="仿宋_GB2312"/>
                      <w:sz w:val="21"/>
                    </w:rPr>
                    <w:t>7)横向科研项目中，各个学院分布和占比（分别按照项目数量、金额统计）</w:t>
                  </w:r>
                </w:p>
                <w:p>
                  <w:pPr>
                    <w:pStyle w:val="null3"/>
                  </w:pPr>
                  <w:r>
                    <w:rPr>
                      <w:rFonts w:ascii="仿宋_GB2312" w:hAnsi="仿宋_GB2312" w:cs="仿宋_GB2312" w:eastAsia="仿宋_GB2312"/>
                      <w:sz w:val="21"/>
                    </w:rPr>
                    <w:t>8)横向科研项目中，大型/重点（100万及以上）的数量/金额占比</w:t>
                  </w:r>
                </w:p>
                <w:p>
                  <w:pPr>
                    <w:pStyle w:val="null3"/>
                  </w:pPr>
                  <w:r>
                    <w:rPr>
                      <w:rFonts w:ascii="仿宋_GB2312" w:hAnsi="仿宋_GB2312" w:cs="仿宋_GB2312" w:eastAsia="仿宋_GB2312"/>
                      <w:sz w:val="21"/>
                    </w:rPr>
                    <w:t>9)横向科研项目中，大型/重点（100万及以上）项目在各个学院的分布</w:t>
                  </w:r>
                </w:p>
                <w:p>
                  <w:pPr>
                    <w:pStyle w:val="null3"/>
                  </w:pPr>
                  <w:r>
                    <w:rPr>
                      <w:rFonts w:ascii="仿宋_GB2312" w:hAnsi="仿宋_GB2312" w:cs="仿宋_GB2312" w:eastAsia="仿宋_GB2312"/>
                      <w:sz w:val="21"/>
                    </w:rPr>
                    <w:t>10)与同一单位合作签约横向科研项目的数量/金额的Top10排名</w:t>
                  </w:r>
                </w:p>
                <w:p>
                  <w:pPr>
                    <w:pStyle w:val="null3"/>
                  </w:pPr>
                  <w:r>
                    <w:rPr>
                      <w:rFonts w:ascii="仿宋_GB2312" w:hAnsi="仿宋_GB2312" w:cs="仿宋_GB2312" w:eastAsia="仿宋_GB2312"/>
                      <w:sz w:val="21"/>
                    </w:rPr>
                    <w:t>11)同一个教师个人承担横向科研项目的数量/金额的Top10排名</w:t>
                  </w:r>
                </w:p>
                <w:p>
                  <w:pPr>
                    <w:pStyle w:val="null3"/>
                  </w:pPr>
                  <w:r>
                    <w:rPr>
                      <w:rFonts w:ascii="仿宋_GB2312" w:hAnsi="仿宋_GB2312" w:cs="仿宋_GB2312" w:eastAsia="仿宋_GB2312"/>
                      <w:sz w:val="21"/>
                    </w:rPr>
                    <w:t>12)横向科研项目对应我省34条产业链的数量/金额分布占比</w:t>
                  </w:r>
                </w:p>
                <w:p>
                  <w:pPr>
                    <w:pStyle w:val="null3"/>
                  </w:pPr>
                  <w:r>
                    <w:rPr>
                      <w:rFonts w:ascii="仿宋_GB2312" w:hAnsi="仿宋_GB2312" w:cs="仿宋_GB2312" w:eastAsia="仿宋_GB2312"/>
                      <w:sz w:val="21"/>
                    </w:rPr>
                    <w:t>13)横向科研项目负责人的职称分布占比</w:t>
                  </w:r>
                </w:p>
                <w:p>
                  <w:pPr>
                    <w:pStyle w:val="null3"/>
                  </w:pPr>
                  <w:r>
                    <w:rPr>
                      <w:rFonts w:ascii="仿宋_GB2312" w:hAnsi="仿宋_GB2312" w:cs="仿宋_GB2312" w:eastAsia="仿宋_GB2312"/>
                      <w:sz w:val="21"/>
                    </w:rPr>
                    <w:t>14)横向科研项目负责人的职级分布占比</w:t>
                  </w:r>
                </w:p>
                <w:p>
                  <w:pPr>
                    <w:pStyle w:val="null3"/>
                  </w:pPr>
                  <w:r>
                    <w:rPr>
                      <w:rFonts w:ascii="仿宋_GB2312" w:hAnsi="仿宋_GB2312" w:cs="仿宋_GB2312" w:eastAsia="仿宋_GB2312"/>
                      <w:sz w:val="21"/>
                    </w:rPr>
                    <w:t>15)横向科研项目负责人的年龄分布占比</w:t>
                  </w:r>
                </w:p>
              </w:tc>
            </w:tr>
            <w:tr>
              <w:tc>
                <w:tcPr>
                  <w:tcW w:type="dxa" w:w="593"/>
                  <w:vMerge/>
                  <w:tcBorders>
                    <w:top w:val="none" w:color="000000" w:sz="4"/>
                    <w:left w:val="single" w:color="000000" w:sz="4"/>
                    <w:bottom w:val="single" w:color="000000" w:sz="4"/>
                    <w:right w:val="single" w:color="000000" w:sz="4"/>
                  </w:tcBorders>
                </w:tcPr>
                <w:p/>
              </w:tc>
              <w:tc>
                <w:tcPr>
                  <w:tcW w:type="dxa" w:w="683"/>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多维分析展示</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pPr>
                  <w:r>
                    <w:rPr>
                      <w:rFonts w:ascii="仿宋_GB2312" w:hAnsi="仿宋_GB2312" w:cs="仿宋_GB2312" w:eastAsia="仿宋_GB2312"/>
                      <w:sz w:val="21"/>
                    </w:rPr>
                    <w:t>1.至少包括学校、学院、个人三个数据驾驶舱；</w:t>
                  </w:r>
                </w:p>
                <w:p>
                  <w:pPr>
                    <w:pStyle w:val="null3"/>
                  </w:pPr>
                  <w:r>
                    <w:rPr>
                      <w:rFonts w:ascii="仿宋_GB2312" w:hAnsi="仿宋_GB2312" w:cs="仿宋_GB2312" w:eastAsia="仿宋_GB2312"/>
                      <w:sz w:val="21"/>
                    </w:rPr>
                    <w:t>2.支持从时间（年度、季度）、学院、负责人、经费分布、产业链等多个维度，对横向科研项目开展多角度、多层次分析，全面反映各学院横向科研的发展状况与资源分布。</w:t>
                  </w:r>
                </w:p>
                <w:p>
                  <w:pPr>
                    <w:pStyle w:val="null3"/>
                  </w:pPr>
                  <w:r>
                    <w:rPr>
                      <w:rFonts w:ascii="仿宋_GB2312" w:hAnsi="仿宋_GB2312" w:cs="仿宋_GB2312" w:eastAsia="仿宋_GB2312"/>
                      <w:sz w:val="21"/>
                    </w:rPr>
                    <w:t>3.支持对到账经费、重大项目（如300万、500万、1000万以上）等关键指标进行结构分析与年度对比，辅助精准识别重点增长领域与短板区域。</w:t>
                  </w:r>
                </w:p>
                <w:p>
                  <w:pPr>
                    <w:pStyle w:val="null3"/>
                  </w:pPr>
                  <w:r>
                    <w:rPr>
                      <w:rFonts w:ascii="仿宋_GB2312" w:hAnsi="仿宋_GB2312" w:cs="仿宋_GB2312" w:eastAsia="仿宋_GB2312"/>
                      <w:sz w:val="21"/>
                    </w:rPr>
                    <w:t>4.提供强大的下钻功能，所有主题分析驾驶舱支持逐级下钻，学校--学院--教师。例如从学院维度下钻至教师个体，再查看其具体项目清单或从产业链维度下钻至对应的项目及合作企业。</w:t>
                  </w:r>
                </w:p>
                <w:p>
                  <w:pPr>
                    <w:pStyle w:val="null3"/>
                  </w:pPr>
                  <w:r>
                    <w:rPr>
                      <w:rFonts w:ascii="仿宋_GB2312" w:hAnsi="仿宋_GB2312" w:cs="仿宋_GB2312" w:eastAsia="仿宋_GB2312"/>
                      <w:sz w:val="21"/>
                    </w:rPr>
                    <w:t>5.所有分析结果支持图表展示（折线图、柱状图、饼图、堆积图等），并可在不同时间粒度与分析对象之间（如学院、产业链、负责人等）灵活切换。</w:t>
                  </w:r>
                </w:p>
                <w:p>
                  <w:pPr>
                    <w:pStyle w:val="null3"/>
                  </w:pPr>
                  <w:r>
                    <w:rPr>
                      <w:rFonts w:ascii="仿宋_GB2312" w:hAnsi="仿宋_GB2312" w:cs="仿宋_GB2312" w:eastAsia="仿宋_GB2312"/>
                      <w:sz w:val="21"/>
                    </w:rPr>
                    <w:t>6.以产业链分类展现横向科研项目的匹配关系，辅助学校识别科研支撑重点产业方向的能力和布局成效。</w:t>
                  </w:r>
                </w:p>
                <w:p>
                  <w:pPr>
                    <w:pStyle w:val="null3"/>
                  </w:pPr>
                  <w:r>
                    <w:rPr>
                      <w:rFonts w:ascii="仿宋_GB2312" w:hAnsi="仿宋_GB2312" w:cs="仿宋_GB2312" w:eastAsia="仿宋_GB2312"/>
                      <w:sz w:val="21"/>
                    </w:rPr>
                    <w:t>7.从横向科研项目的产业领域与地市分布维度分析，展示学校横向科研项目在不同行业、地区的分布情况，为区域服务能力评估与对外合作策略提供依据。</w:t>
                  </w:r>
                </w:p>
                <w:p>
                  <w:pPr>
                    <w:pStyle w:val="null3"/>
                  </w:pPr>
                  <w:r>
                    <w:rPr>
                      <w:rFonts w:ascii="仿宋_GB2312" w:hAnsi="仿宋_GB2312" w:cs="仿宋_GB2312" w:eastAsia="仿宋_GB2312"/>
                      <w:sz w:val="21"/>
                    </w:rPr>
                    <w:t>8.结合引入的外部学科数据，结合科研项目信息，形成外校对比分析。</w:t>
                  </w:r>
                </w:p>
                <w:p>
                  <w:pPr>
                    <w:pStyle w:val="null3"/>
                  </w:pPr>
                  <w:r>
                    <w:rPr>
                      <w:rFonts w:ascii="仿宋_GB2312" w:hAnsi="仿宋_GB2312" w:cs="仿宋_GB2312" w:eastAsia="仿宋_GB2312"/>
                      <w:sz w:val="21"/>
                    </w:rPr>
                    <w:t>9.驾驶舱应支持将关键指标的当前数据，与国家标准或学校自定发展目标进行对比展示，清晰呈现当前水平、目标值及差距情况，辅助管理者掌握学校发展定位与阶段性成效。</w:t>
                  </w:r>
                </w:p>
              </w:tc>
            </w:tr>
            <w:tr>
              <w:tc>
                <w:tcPr>
                  <w:tcW w:type="dxa" w:w="593"/>
                  <w:vMerge w:val="restart"/>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both"/>
                  </w:pPr>
                  <w:r>
                    <w:rPr>
                      <w:rFonts w:ascii="仿宋_GB2312" w:hAnsi="仿宋_GB2312" w:cs="仿宋_GB2312" w:eastAsia="仿宋_GB2312"/>
                      <w:sz w:val="21"/>
                      <w:b/>
                    </w:rPr>
                    <w:t>4</w:t>
                  </w:r>
                </w:p>
              </w:tc>
              <w:tc>
                <w:tcPr>
                  <w:tcW w:type="dxa" w:w="683"/>
                  <w:vMerge w:val="restart"/>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both"/>
                  </w:pPr>
                  <w:r>
                    <w:rPr>
                      <w:rFonts w:ascii="仿宋_GB2312" w:hAnsi="仿宋_GB2312" w:cs="仿宋_GB2312" w:eastAsia="仿宋_GB2312"/>
                      <w:sz w:val="21"/>
                    </w:rPr>
                    <w:t>纵向项目分析</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建设目标</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pPr>
                  <w:r>
                    <w:rPr>
                      <w:rFonts w:ascii="仿宋_GB2312" w:hAnsi="仿宋_GB2312" w:cs="仿宋_GB2312" w:eastAsia="仿宋_GB2312"/>
                      <w:sz w:val="21"/>
                    </w:rPr>
                    <w:t xml:space="preserve">  依托校级数据中心的科研数据资源，全面汇聚和关联纵向科研项目、科研成果、科研经费、科研获奖、科研基地等核心数据，构建纵向科研工作全周期、多维度、可视化的分析能力。系统将面向学校领导、科研管理部门和各学院，提供精准的数据支持，助力推进院校分类发展、“一院一策”改革和科研资源优化配置，全面提升科研管理的科学性与决策效率。</w:t>
                  </w:r>
                </w:p>
                <w:p>
                  <w:pPr>
                    <w:pStyle w:val="null3"/>
                  </w:pPr>
                  <w:r>
                    <w:rPr>
                      <w:rFonts w:ascii="仿宋_GB2312" w:hAnsi="仿宋_GB2312" w:cs="仿宋_GB2312" w:eastAsia="仿宋_GB2312"/>
                      <w:sz w:val="21"/>
                    </w:rPr>
                    <w:t xml:space="preserve">  要求纵向项目分析可以与学科建设分析、人事绩效、横向项目分析、资产情况实现相互钻取和联动。</w:t>
                  </w:r>
                </w:p>
              </w:tc>
            </w:tr>
            <w:tr>
              <w:tc>
                <w:tcPr>
                  <w:tcW w:type="dxa" w:w="593"/>
                  <w:vMerge/>
                  <w:tcBorders>
                    <w:top w:val="none" w:color="000000" w:sz="4"/>
                    <w:left w:val="single" w:color="000000" w:sz="4"/>
                    <w:bottom w:val="single" w:color="000000" w:sz="4"/>
                    <w:right w:val="single" w:color="000000" w:sz="4"/>
                  </w:tcBorders>
                </w:tcPr>
                <w:p/>
              </w:tc>
              <w:tc>
                <w:tcPr>
                  <w:tcW w:type="dxa" w:w="683"/>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数据接入与基础管理</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pPr>
                  <w:r>
                    <w:rPr>
                      <w:rFonts w:ascii="仿宋_GB2312" w:hAnsi="仿宋_GB2312" w:cs="仿宋_GB2312" w:eastAsia="仿宋_GB2312"/>
                      <w:sz w:val="21"/>
                    </w:rPr>
                    <w:t>1.对接校级数据中心，自动汇聚纵向科研项目、科研成果、科研经费、科研获奖、科研基地等数据等基础数据</w:t>
                  </w:r>
                </w:p>
                <w:p>
                  <w:pPr>
                    <w:pStyle w:val="null3"/>
                  </w:pPr>
                  <w:r>
                    <w:rPr>
                      <w:rFonts w:ascii="仿宋_GB2312" w:hAnsi="仿宋_GB2312" w:cs="仿宋_GB2312" w:eastAsia="仿宋_GB2312"/>
                      <w:sz w:val="21"/>
                    </w:rPr>
                    <w:t>2.构建科研综合数据模型，清晰关联项目基本信息、经费流转、人员参与、成果产出、获奖信息、科研基地等核心字段。</w:t>
                  </w:r>
                </w:p>
                <w:p>
                  <w:pPr>
                    <w:pStyle w:val="null3"/>
                  </w:pPr>
                  <w:r>
                    <w:rPr>
                      <w:rFonts w:ascii="仿宋_GB2312" w:hAnsi="仿宋_GB2312" w:cs="仿宋_GB2312" w:eastAsia="仿宋_GB2312"/>
                      <w:sz w:val="21"/>
                    </w:rPr>
                    <w:t>3.明确每条数据的归属关系，包括学院、学科、项目负责人及其属性（职称、职级、年龄、性别等），支持多标签标识与动态更新，支撑后续的多维分析与下钻查询。</w:t>
                  </w:r>
                </w:p>
              </w:tc>
            </w:tr>
            <w:tr>
              <w:tc>
                <w:tcPr>
                  <w:tcW w:type="dxa" w:w="593"/>
                  <w:vMerge/>
                  <w:tcBorders>
                    <w:top w:val="none" w:color="000000" w:sz="4"/>
                    <w:left w:val="single" w:color="000000" w:sz="4"/>
                    <w:bottom w:val="single" w:color="000000" w:sz="4"/>
                    <w:right w:val="single" w:color="000000" w:sz="4"/>
                  </w:tcBorders>
                </w:tcPr>
                <w:p/>
              </w:tc>
              <w:tc>
                <w:tcPr>
                  <w:tcW w:type="dxa" w:w="683"/>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指标体系构建与动态更新</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pPr>
                  <w:r>
                    <w:rPr>
                      <w:rFonts w:ascii="仿宋_GB2312" w:hAnsi="仿宋_GB2312" w:cs="仿宋_GB2312" w:eastAsia="仿宋_GB2312"/>
                      <w:sz w:val="21"/>
                    </w:rPr>
                    <w:t>1.构建覆盖纵向科研项目、科研成果、经费、获奖、基地等板块的指标体系，涵盖数量、金额、分布、结构、绩效等核心维度。</w:t>
                  </w:r>
                </w:p>
                <w:p>
                  <w:pPr>
                    <w:pStyle w:val="null3"/>
                  </w:pPr>
                  <w:r>
                    <w:rPr>
                      <w:rFonts w:ascii="仿宋_GB2312" w:hAnsi="仿宋_GB2312" w:cs="仿宋_GB2312" w:eastAsia="仿宋_GB2312"/>
                      <w:sz w:val="21"/>
                    </w:rPr>
                    <w:t>2.每个指标支持配置其基础属性，包括数据来源、统计周期、计算逻辑、目标值、归属单位与归属维度（如负责人、学科领域等），确保定义统一、来源可溯、逻辑清晰。</w:t>
                  </w:r>
                </w:p>
                <w:p>
                  <w:pPr>
                    <w:pStyle w:val="null3"/>
                  </w:pPr>
                  <w:r>
                    <w:rPr>
                      <w:rFonts w:ascii="仿宋_GB2312" w:hAnsi="仿宋_GB2312" w:cs="仿宋_GB2312" w:eastAsia="仿宋_GB2312"/>
                      <w:sz w:val="21"/>
                    </w:rPr>
                    <w:t>3.系统支持指标项的新增、调整、停用等动态配置功能，适应政策调整和管理要求的变化，保障指标体系持续适配科研发展实际。</w:t>
                  </w:r>
                </w:p>
                <w:p>
                  <w:pPr>
                    <w:pStyle w:val="null3"/>
                  </w:pPr>
                  <w:r>
                    <w:rPr>
                      <w:rFonts w:ascii="仿宋_GB2312" w:hAnsi="仿宋_GB2312" w:cs="仿宋_GB2312" w:eastAsia="仿宋_GB2312"/>
                      <w:sz w:val="21"/>
                    </w:rPr>
                    <w:t>4.具体指标要求如下(在交付环节支持根据实际需求进行调整):</w:t>
                  </w:r>
                </w:p>
                <w:p>
                  <w:pPr>
                    <w:pStyle w:val="null3"/>
                  </w:pPr>
                  <w:r>
                    <w:rPr>
                      <w:rFonts w:ascii="仿宋_GB2312" w:hAnsi="仿宋_GB2312" w:cs="仿宋_GB2312" w:eastAsia="仿宋_GB2312"/>
                      <w:sz w:val="21"/>
                      <w:b/>
                    </w:rPr>
                    <w:t>（1）理工类纵向科研项目分析</w:t>
                  </w:r>
                </w:p>
                <w:p>
                  <w:pPr>
                    <w:pStyle w:val="null3"/>
                  </w:pPr>
                  <w:r>
                    <w:rPr>
                      <w:rFonts w:ascii="仿宋_GB2312" w:hAnsi="仿宋_GB2312" w:cs="仿宋_GB2312" w:eastAsia="仿宋_GB2312"/>
                      <w:sz w:val="21"/>
                    </w:rPr>
                    <w:t>1）纵向科研项目数量及其在全部科研项目中的占比</w:t>
                  </w:r>
                </w:p>
                <w:p>
                  <w:pPr>
                    <w:pStyle w:val="null3"/>
                  </w:pPr>
                  <w:r>
                    <w:rPr>
                      <w:rFonts w:ascii="仿宋_GB2312" w:hAnsi="仿宋_GB2312" w:cs="仿宋_GB2312" w:eastAsia="仿宋_GB2312"/>
                      <w:sz w:val="21"/>
                    </w:rPr>
                    <w:t>2）各学院纵向项目申报数量、获批数量、资助率</w:t>
                  </w:r>
                </w:p>
                <w:p>
                  <w:pPr>
                    <w:pStyle w:val="null3"/>
                  </w:pPr>
                  <w:r>
                    <w:rPr>
                      <w:rFonts w:ascii="仿宋_GB2312" w:hAnsi="仿宋_GB2312" w:cs="仿宋_GB2312" w:eastAsia="仿宋_GB2312"/>
                      <w:sz w:val="21"/>
                    </w:rPr>
                    <w:t>3）不同金额区间项目数量与金额分布（合同额、到账额）</w:t>
                  </w:r>
                </w:p>
                <w:p>
                  <w:pPr>
                    <w:pStyle w:val="null3"/>
                  </w:pPr>
                  <w:r>
                    <w:rPr>
                      <w:rFonts w:ascii="仿宋_GB2312" w:hAnsi="仿宋_GB2312" w:cs="仿宋_GB2312" w:eastAsia="仿宋_GB2312"/>
                      <w:sz w:val="21"/>
                    </w:rPr>
                    <w:t>4）项目来源类型分布（国家级、省部级、厅局级等）</w:t>
                  </w:r>
                </w:p>
                <w:p>
                  <w:pPr>
                    <w:pStyle w:val="null3"/>
                  </w:pPr>
                  <w:r>
                    <w:rPr>
                      <w:rFonts w:ascii="仿宋_GB2312" w:hAnsi="仿宋_GB2312" w:cs="仿宋_GB2312" w:eastAsia="仿宋_GB2312"/>
                      <w:sz w:val="21"/>
                    </w:rPr>
                    <w:t>5）项目状态分布（立项、在研、结题等）</w:t>
                  </w:r>
                </w:p>
                <w:p>
                  <w:pPr>
                    <w:pStyle w:val="null3"/>
                  </w:pPr>
                  <w:r>
                    <w:rPr>
                      <w:rFonts w:ascii="仿宋_GB2312" w:hAnsi="仿宋_GB2312" w:cs="仿宋_GB2312" w:eastAsia="仿宋_GB2312"/>
                      <w:sz w:val="21"/>
                    </w:rPr>
                    <w:t>6）各学科门类项目数量与金额分布</w:t>
                  </w:r>
                </w:p>
                <w:p>
                  <w:pPr>
                    <w:pStyle w:val="null3"/>
                  </w:pPr>
                  <w:r>
                    <w:rPr>
                      <w:rFonts w:ascii="仿宋_GB2312" w:hAnsi="仿宋_GB2312" w:cs="仿宋_GB2312" w:eastAsia="仿宋_GB2312"/>
                      <w:sz w:val="21"/>
                    </w:rPr>
                    <w:t>7）各学院项目数量与经费分布（合同额、到账额分别统计）</w:t>
                  </w:r>
                </w:p>
                <w:p>
                  <w:pPr>
                    <w:pStyle w:val="null3"/>
                  </w:pPr>
                  <w:r>
                    <w:rPr>
                      <w:rFonts w:ascii="仿宋_GB2312" w:hAnsi="仿宋_GB2312" w:cs="仿宋_GB2312" w:eastAsia="仿宋_GB2312"/>
                      <w:sz w:val="21"/>
                    </w:rPr>
                    <w:t>8）项目负责人类型（教师/学生，本校/外校）数量及占比</w:t>
                  </w:r>
                </w:p>
                <w:p>
                  <w:pPr>
                    <w:pStyle w:val="null3"/>
                  </w:pPr>
                  <w:r>
                    <w:rPr>
                      <w:rFonts w:ascii="仿宋_GB2312" w:hAnsi="仿宋_GB2312" w:cs="仿宋_GB2312" w:eastAsia="仿宋_GB2312"/>
                      <w:sz w:val="21"/>
                    </w:rPr>
                    <w:t>9）纵向科研项目中，各个学院分布和占比（分别按照项目数量、金额统计）</w:t>
                  </w:r>
                </w:p>
                <w:p>
                  <w:pPr>
                    <w:pStyle w:val="null3"/>
                  </w:pPr>
                  <w:r>
                    <w:rPr>
                      <w:rFonts w:ascii="仿宋_GB2312" w:hAnsi="仿宋_GB2312" w:cs="仿宋_GB2312" w:eastAsia="仿宋_GB2312"/>
                      <w:sz w:val="21"/>
                    </w:rPr>
                    <w:t>10）教师个人承担项目数量与经费Top10排名</w:t>
                  </w:r>
                </w:p>
                <w:p>
                  <w:pPr>
                    <w:pStyle w:val="null3"/>
                  </w:pPr>
                  <w:r>
                    <w:rPr>
                      <w:rFonts w:ascii="仿宋_GB2312" w:hAnsi="仿宋_GB2312" w:cs="仿宋_GB2312" w:eastAsia="仿宋_GB2312"/>
                      <w:sz w:val="21"/>
                    </w:rPr>
                    <w:t>11）纵向科研项目负责人的职称分布占比</w:t>
                  </w:r>
                </w:p>
                <w:p>
                  <w:pPr>
                    <w:pStyle w:val="null3"/>
                  </w:pPr>
                  <w:r>
                    <w:rPr>
                      <w:rFonts w:ascii="仿宋_GB2312" w:hAnsi="仿宋_GB2312" w:cs="仿宋_GB2312" w:eastAsia="仿宋_GB2312"/>
                      <w:sz w:val="21"/>
                    </w:rPr>
                    <w:t>12）纵向科研项目负责人的职级分布占比</w:t>
                  </w:r>
                </w:p>
                <w:p>
                  <w:pPr>
                    <w:pStyle w:val="null3"/>
                  </w:pPr>
                  <w:r>
                    <w:rPr>
                      <w:rFonts w:ascii="仿宋_GB2312" w:hAnsi="仿宋_GB2312" w:cs="仿宋_GB2312" w:eastAsia="仿宋_GB2312"/>
                      <w:sz w:val="21"/>
                    </w:rPr>
                    <w:t>13）纵向科研项目负责人的年龄分布占比</w:t>
                  </w:r>
                </w:p>
                <w:p>
                  <w:pPr>
                    <w:pStyle w:val="null3"/>
                  </w:pPr>
                  <w:r>
                    <w:rPr>
                      <w:rFonts w:ascii="仿宋_GB2312" w:hAnsi="仿宋_GB2312" w:cs="仿宋_GB2312" w:eastAsia="仿宋_GB2312"/>
                      <w:sz w:val="21"/>
                    </w:rPr>
                    <w:t>14）纵向科研项目负责人的性别分布占比</w:t>
                  </w:r>
                </w:p>
                <w:p>
                  <w:pPr>
                    <w:pStyle w:val="null3"/>
                  </w:pPr>
                  <w:r>
                    <w:rPr>
                      <w:rFonts w:ascii="仿宋_GB2312" w:hAnsi="仿宋_GB2312" w:cs="仿宋_GB2312" w:eastAsia="仿宋_GB2312"/>
                      <w:sz w:val="21"/>
                      <w:b/>
                    </w:rPr>
                    <w:t>（2）科研成果与获奖指标</w:t>
                  </w:r>
                </w:p>
                <w:p>
                  <w:pPr>
                    <w:pStyle w:val="null3"/>
                  </w:pPr>
                  <w:r>
                    <w:rPr>
                      <w:rFonts w:ascii="仿宋_GB2312" w:hAnsi="仿宋_GB2312" w:cs="仿宋_GB2312" w:eastAsia="仿宋_GB2312"/>
                      <w:sz w:val="21"/>
                    </w:rPr>
                    <w:t>1）各类型成果数量（论文、著作、专利、软件著作权等）及其分布</w:t>
                  </w:r>
                </w:p>
                <w:p>
                  <w:pPr>
                    <w:pStyle w:val="null3"/>
                  </w:pPr>
                  <w:r>
                    <w:rPr>
                      <w:rFonts w:ascii="仿宋_GB2312" w:hAnsi="仿宋_GB2312" w:cs="仿宋_GB2312" w:eastAsia="仿宋_GB2312"/>
                      <w:sz w:val="21"/>
                    </w:rPr>
                    <w:t>2）各学院各级别科研奖励申报数、获批数、成功率</w:t>
                  </w:r>
                </w:p>
                <w:p>
                  <w:pPr>
                    <w:pStyle w:val="null3"/>
                  </w:pPr>
                  <w:r>
                    <w:rPr>
                      <w:rFonts w:ascii="仿宋_GB2312" w:hAnsi="仿宋_GB2312" w:cs="仿宋_GB2312" w:eastAsia="仿宋_GB2312"/>
                      <w:sz w:val="21"/>
                    </w:rPr>
                    <w:t>3）获奖成果按第一完成人职称的分布分析</w:t>
                  </w:r>
                </w:p>
                <w:p>
                  <w:pPr>
                    <w:pStyle w:val="null3"/>
                  </w:pPr>
                  <w:r>
                    <w:rPr>
                      <w:rFonts w:ascii="仿宋_GB2312" w:hAnsi="仿宋_GB2312" w:cs="仿宋_GB2312" w:eastAsia="仿宋_GB2312"/>
                      <w:sz w:val="21"/>
                      <w:b/>
                    </w:rPr>
                    <w:t>（3）科研基地绩效指标</w:t>
                  </w:r>
                </w:p>
                <w:p>
                  <w:pPr>
                    <w:pStyle w:val="null3"/>
                  </w:pPr>
                  <w:r>
                    <w:rPr>
                      <w:rFonts w:ascii="仿宋_GB2312" w:hAnsi="仿宋_GB2312" w:cs="仿宋_GB2312" w:eastAsia="仿宋_GB2312"/>
                      <w:sz w:val="21"/>
                    </w:rPr>
                    <w:t>1）各科研基地成果产出数量、成员绩效、人均产出</w:t>
                  </w:r>
                </w:p>
                <w:p>
                  <w:pPr>
                    <w:pStyle w:val="null3"/>
                  </w:pPr>
                  <w:r>
                    <w:rPr>
                      <w:rFonts w:ascii="仿宋_GB2312" w:hAnsi="仿宋_GB2312" w:cs="仿宋_GB2312" w:eastAsia="仿宋_GB2312"/>
                      <w:sz w:val="21"/>
                    </w:rPr>
                    <w:t>2）年度与周期性考核指标（人均成果、人均项目、人均经费等）</w:t>
                  </w:r>
                </w:p>
                <w:p>
                  <w:pPr>
                    <w:pStyle w:val="null3"/>
                  </w:pPr>
                  <w:r>
                    <w:rPr>
                      <w:rFonts w:ascii="仿宋_GB2312" w:hAnsi="仿宋_GB2312" w:cs="仿宋_GB2312" w:eastAsia="仿宋_GB2312"/>
                      <w:sz w:val="21"/>
                      <w:b/>
                    </w:rPr>
                    <w:t>（4）国家自然科学基金专项指标</w:t>
                  </w:r>
                </w:p>
                <w:p>
                  <w:pPr>
                    <w:pStyle w:val="null3"/>
                  </w:pPr>
                  <w:r>
                    <w:rPr>
                      <w:rFonts w:ascii="仿宋_GB2312" w:hAnsi="仿宋_GB2312" w:cs="仿宋_GB2312" w:eastAsia="仿宋_GB2312"/>
                      <w:sz w:val="21"/>
                    </w:rPr>
                    <w:t>1）学院国家基金项目申报数、获批数、合同金额、资助率</w:t>
                  </w:r>
                </w:p>
                <w:p>
                  <w:pPr>
                    <w:pStyle w:val="null3"/>
                  </w:pPr>
                  <w:r>
                    <w:rPr>
                      <w:rFonts w:ascii="仿宋_GB2312" w:hAnsi="仿宋_GB2312" w:cs="仿宋_GB2312" w:eastAsia="仿宋_GB2312"/>
                      <w:sz w:val="21"/>
                    </w:rPr>
                    <w:t>2）不同职称群体（教授、副教授、讲师、师资博士后）申报、获批情况及资助率</w:t>
                  </w:r>
                </w:p>
                <w:p>
                  <w:pPr>
                    <w:pStyle w:val="null3"/>
                  </w:pPr>
                  <w:r>
                    <w:rPr>
                      <w:rFonts w:ascii="仿宋_GB2312" w:hAnsi="仿宋_GB2312" w:cs="仿宋_GB2312" w:eastAsia="仿宋_GB2312"/>
                      <w:sz w:val="21"/>
                    </w:rPr>
                    <w:t>3）新进教师（如2024.3.21–2025.3.20）申报、获批数量、经费与资助率，按学院统计</w:t>
                  </w:r>
                </w:p>
                <w:p>
                  <w:pPr>
                    <w:pStyle w:val="null3"/>
                  </w:pPr>
                  <w:r>
                    <w:rPr>
                      <w:rFonts w:ascii="仿宋_GB2312" w:hAnsi="仿宋_GB2312" w:cs="仿宋_GB2312" w:eastAsia="仿宋_GB2312"/>
                      <w:sz w:val="21"/>
                      <w:b/>
                    </w:rPr>
                    <w:t>（5）人文社科类纵向科研专项指标</w:t>
                  </w:r>
                </w:p>
                <w:p>
                  <w:pPr>
                    <w:pStyle w:val="null3"/>
                  </w:pPr>
                  <w:r>
                    <w:rPr>
                      <w:rFonts w:ascii="仿宋_GB2312" w:hAnsi="仿宋_GB2312" w:cs="仿宋_GB2312" w:eastAsia="仿宋_GB2312"/>
                      <w:sz w:val="21"/>
                    </w:rPr>
                    <w:t>1）国家社科基金获批数与兄弟院校作比对，各学院申报获批数比对</w:t>
                  </w:r>
                </w:p>
                <w:p>
                  <w:pPr>
                    <w:pStyle w:val="null3"/>
                  </w:pPr>
                  <w:r>
                    <w:rPr>
                      <w:rFonts w:ascii="仿宋_GB2312" w:hAnsi="仿宋_GB2312" w:cs="仿宋_GB2312" w:eastAsia="仿宋_GB2312"/>
                      <w:sz w:val="21"/>
                    </w:rPr>
                    <w:t>2）教育部社科项目获批数与兄弟院校作比对，各学院申报获批数比对</w:t>
                  </w:r>
                </w:p>
                <w:p>
                  <w:pPr>
                    <w:pStyle w:val="null3"/>
                  </w:pPr>
                  <w:r>
                    <w:rPr>
                      <w:rFonts w:ascii="仿宋_GB2312" w:hAnsi="仿宋_GB2312" w:cs="仿宋_GB2312" w:eastAsia="仿宋_GB2312"/>
                      <w:sz w:val="21"/>
                    </w:rPr>
                    <w:t>3）人文社科成果奖获奖数与兄弟院校作比对，各学院报奖获批数比对，各类型成果数量及其分布</w:t>
                  </w:r>
                </w:p>
                <w:p>
                  <w:pPr>
                    <w:pStyle w:val="null3"/>
                  </w:pPr>
                  <w:r>
                    <w:rPr>
                      <w:rFonts w:ascii="仿宋_GB2312" w:hAnsi="仿宋_GB2312" w:cs="仿宋_GB2312" w:eastAsia="仿宋_GB2312"/>
                      <w:sz w:val="21"/>
                    </w:rPr>
                    <w:t>4）人文基地、智库优秀成果展示</w:t>
                  </w:r>
                </w:p>
              </w:tc>
            </w:tr>
            <w:tr>
              <w:tc>
                <w:tcPr>
                  <w:tcW w:type="dxa" w:w="593"/>
                  <w:vMerge/>
                  <w:tcBorders>
                    <w:top w:val="none" w:color="000000" w:sz="4"/>
                    <w:left w:val="single" w:color="000000" w:sz="4"/>
                    <w:bottom w:val="single" w:color="000000" w:sz="4"/>
                    <w:right w:val="single" w:color="000000" w:sz="4"/>
                  </w:tcBorders>
                </w:tcPr>
                <w:p/>
              </w:tc>
              <w:tc>
                <w:tcPr>
                  <w:tcW w:type="dxa" w:w="683"/>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多维分析展示</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pPr>
                  <w:r>
                    <w:rPr>
                      <w:rFonts w:ascii="仿宋_GB2312" w:hAnsi="仿宋_GB2312" w:cs="仿宋_GB2312" w:eastAsia="仿宋_GB2312"/>
                      <w:sz w:val="21"/>
                    </w:rPr>
                    <w:t>1.至少包括学校、学院、个人三个数据驾驶舱；</w:t>
                  </w:r>
                </w:p>
                <w:p>
                  <w:pPr>
                    <w:pStyle w:val="null3"/>
                  </w:pPr>
                  <w:r>
                    <w:rPr>
                      <w:rFonts w:ascii="仿宋_GB2312" w:hAnsi="仿宋_GB2312" w:cs="仿宋_GB2312" w:eastAsia="仿宋_GB2312"/>
                      <w:sz w:val="21"/>
                    </w:rPr>
                    <w:t>2.支持从学院、学科门类、项目负责人、金额区间、合作单位、地市来源等多个维度开展纵向科研项目的多角度分析，并提供与同一单位、同一教师项目数量与经费的排名，辅助识别重点合作方向和科研骨干力量。</w:t>
                  </w:r>
                </w:p>
                <w:p>
                  <w:pPr>
                    <w:pStyle w:val="null3"/>
                  </w:pPr>
                  <w:r>
                    <w:rPr>
                      <w:rFonts w:ascii="仿宋_GB2312" w:hAnsi="仿宋_GB2312" w:cs="仿宋_GB2312" w:eastAsia="仿宋_GB2312"/>
                      <w:sz w:val="21"/>
                    </w:rPr>
                    <w:t>3.支持对纵向项目的来源类别、金额分布、申报与获批情况、人员属性等维度进行综合分析，动态呈现科研发展成效。</w:t>
                  </w:r>
                </w:p>
                <w:p>
                  <w:pPr>
                    <w:pStyle w:val="null3"/>
                  </w:pPr>
                  <w:r>
                    <w:rPr>
                      <w:rFonts w:ascii="仿宋_GB2312" w:hAnsi="仿宋_GB2312" w:cs="仿宋_GB2312" w:eastAsia="仿宋_GB2312"/>
                      <w:sz w:val="21"/>
                    </w:rPr>
                    <w:t>4.按学院展示国家自然科学基金项目的申报数量、获批数量、合同经费总额及资助率，衡量学院科研竞争力。</w:t>
                  </w:r>
                </w:p>
                <w:p>
                  <w:pPr>
                    <w:pStyle w:val="null3"/>
                  </w:pPr>
                  <w:r>
                    <w:rPr>
                      <w:rFonts w:ascii="仿宋_GB2312" w:hAnsi="仿宋_GB2312" w:cs="仿宋_GB2312" w:eastAsia="仿宋_GB2312"/>
                      <w:sz w:val="21"/>
                    </w:rPr>
                    <w:t>5.按人员类型（教授、副教授、讲师、师资博士后）分类展示国家自然科学基金项目申报与获批数据，分析不同职称群体的科研潜力；</w:t>
                  </w:r>
                </w:p>
                <w:p>
                  <w:pPr>
                    <w:pStyle w:val="null3"/>
                  </w:pPr>
                  <w:r>
                    <w:rPr>
                      <w:rFonts w:ascii="仿宋_GB2312" w:hAnsi="仿宋_GB2312" w:cs="仿宋_GB2312" w:eastAsia="仿宋_GB2312"/>
                      <w:sz w:val="21"/>
                    </w:rPr>
                    <w:t>6.针对新进教师（按学校统计规则设置），按学院展示其基金项目的申报、获批、经费及资助率，评估青年科研力量的支持成效。统计周期支持调整。</w:t>
                  </w:r>
                </w:p>
                <w:p>
                  <w:pPr>
                    <w:pStyle w:val="null3"/>
                  </w:pPr>
                  <w:r>
                    <w:rPr>
                      <w:rFonts w:ascii="仿宋_GB2312" w:hAnsi="仿宋_GB2312" w:cs="仿宋_GB2312" w:eastAsia="仿宋_GB2312"/>
                      <w:sz w:val="21"/>
                    </w:rPr>
                    <w:t>7.支持展示纵向科研项目负责人性别结构占比，反映科研主力群体的性别分布结构。</w:t>
                  </w:r>
                </w:p>
                <w:p>
                  <w:pPr>
                    <w:pStyle w:val="null3"/>
                  </w:pPr>
                  <w:r>
                    <w:rPr>
                      <w:rFonts w:ascii="仿宋_GB2312" w:hAnsi="仿宋_GB2312" w:cs="仿宋_GB2312" w:eastAsia="仿宋_GB2312"/>
                      <w:sz w:val="21"/>
                    </w:rPr>
                    <w:t>8.成果与获奖方面，支持按成果类型、申报与获批数量、负责人职称分布等维度进行分析，揭示成果产出与人才结构之间的匹配关系。</w:t>
                  </w:r>
                </w:p>
                <w:p>
                  <w:pPr>
                    <w:pStyle w:val="null3"/>
                  </w:pPr>
                  <w:r>
                    <w:rPr>
                      <w:rFonts w:ascii="仿宋_GB2312" w:hAnsi="仿宋_GB2312" w:cs="仿宋_GB2312" w:eastAsia="仿宋_GB2312"/>
                      <w:sz w:val="21"/>
                    </w:rPr>
                    <w:t>9.经费分析支持展示合同额与到账额在年、季、月等不同时间尺度下的变化趋势，并按学院、学科等进行对比和排名。</w:t>
                  </w:r>
                </w:p>
                <w:p>
                  <w:pPr>
                    <w:pStyle w:val="null3"/>
                  </w:pPr>
                  <w:r>
                    <w:rPr>
                      <w:rFonts w:ascii="仿宋_GB2312" w:hAnsi="仿宋_GB2312" w:cs="仿宋_GB2312" w:eastAsia="仿宋_GB2312"/>
                      <w:sz w:val="21"/>
                    </w:rPr>
                    <w:t>10.科研基地分析支持基于成员构成、成果产出、周期考核结果等维度进行综合绩效评价。</w:t>
                  </w:r>
                </w:p>
                <w:p>
                  <w:pPr>
                    <w:pStyle w:val="null3"/>
                  </w:pPr>
                  <w:r>
                    <w:rPr>
                      <w:rFonts w:ascii="仿宋_GB2312" w:hAnsi="仿宋_GB2312" w:cs="仿宋_GB2312" w:eastAsia="仿宋_GB2312"/>
                      <w:sz w:val="21"/>
                    </w:rPr>
                    <w:t>11.所有分析结果均支持下钻操作，提供强大的下钻功能，所有主题分析驾驶舱支持逐级下钻，学校--学院--教师。例如从学院下钻到教师、项目或成果明细；支持图表形式包括柱状图、折线图、饼图、堆积图等，增强展示直观性和交互性。</w:t>
                  </w:r>
                </w:p>
                <w:p>
                  <w:pPr>
                    <w:pStyle w:val="null3"/>
                  </w:pPr>
                  <w:r>
                    <w:rPr>
                      <w:rFonts w:ascii="仿宋_GB2312" w:hAnsi="仿宋_GB2312" w:cs="仿宋_GB2312" w:eastAsia="仿宋_GB2312"/>
                      <w:sz w:val="21"/>
                    </w:rPr>
                    <w:t>12.结合引入的外部学科数据，结合科研项目信息，形成外校对比分析。</w:t>
                  </w:r>
                </w:p>
                <w:p>
                  <w:pPr>
                    <w:pStyle w:val="null3"/>
                  </w:pPr>
                  <w:r>
                    <w:rPr>
                      <w:rFonts w:ascii="仿宋_GB2312" w:hAnsi="仿宋_GB2312" w:cs="仿宋_GB2312" w:eastAsia="仿宋_GB2312"/>
                      <w:sz w:val="21"/>
                    </w:rPr>
                    <w:t>13.驾驶舱应支持将关键指标的当前数据，与国家标准或学校自定发展目标进行对比展示，清晰呈现当前水平、目标值及差距情况，辅助管理者掌握学校发展定位与阶段性成效。</w:t>
                  </w:r>
                </w:p>
              </w:tc>
            </w:tr>
            <w:tr>
              <w:tc>
                <w:tcPr>
                  <w:tcW w:type="dxa" w:w="593"/>
                  <w:vMerge w:val="restart"/>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both"/>
                  </w:pPr>
                  <w:r>
                    <w:rPr>
                      <w:rFonts w:ascii="仿宋_GB2312" w:hAnsi="仿宋_GB2312" w:cs="仿宋_GB2312" w:eastAsia="仿宋_GB2312"/>
                      <w:sz w:val="21"/>
                      <w:b/>
                    </w:rPr>
                    <w:t>5</w:t>
                  </w:r>
                </w:p>
              </w:tc>
              <w:tc>
                <w:tcPr>
                  <w:tcW w:type="dxa" w:w="683"/>
                  <w:vMerge w:val="restart"/>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资产分析</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建设目标</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ind w:firstLine="420"/>
                    <w:jc w:val="both"/>
                  </w:pPr>
                  <w:r>
                    <w:rPr>
                      <w:rFonts w:ascii="仿宋_GB2312" w:hAnsi="仿宋_GB2312" w:cs="仿宋_GB2312" w:eastAsia="仿宋_GB2312"/>
                      <w:sz w:val="21"/>
                    </w:rPr>
                    <w:t>依托校级数据中心，整合资产、房屋、人员、单位等多源数据，构建资源配置与使用效率的综合分析体系。量化资源配置与办学规模之间的匹配关系，识别资源使用中的短板与冗余，为资源优化配置、规划调整提供数据支撑，助力学校资产管理精细化、科学化发展。</w:t>
                  </w:r>
                </w:p>
                <w:p>
                  <w:pPr>
                    <w:pStyle w:val="null3"/>
                    <w:ind w:firstLine="420"/>
                    <w:jc w:val="both"/>
                  </w:pPr>
                  <w:r>
                    <w:rPr>
                      <w:rFonts w:ascii="仿宋_GB2312" w:hAnsi="仿宋_GB2312" w:cs="仿宋_GB2312" w:eastAsia="仿宋_GB2312"/>
                      <w:sz w:val="21"/>
                    </w:rPr>
                    <w:t>要求资产分析可以支持与学科建设分析、人事绩效大屏、科研（纵/横向）大屏实现相互钻取和联动。</w:t>
                  </w:r>
                </w:p>
              </w:tc>
            </w:tr>
            <w:tr>
              <w:tc>
                <w:tcPr>
                  <w:tcW w:type="dxa" w:w="593"/>
                  <w:vMerge/>
                  <w:tcBorders>
                    <w:top w:val="none" w:color="000000" w:sz="4"/>
                    <w:left w:val="single" w:color="000000" w:sz="4"/>
                    <w:bottom w:val="single" w:color="000000" w:sz="4"/>
                    <w:right w:val="single" w:color="000000" w:sz="4"/>
                  </w:tcBorders>
                </w:tcPr>
                <w:p/>
              </w:tc>
              <w:tc>
                <w:tcPr>
                  <w:tcW w:type="dxa" w:w="683"/>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数据接入与基础管理</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pPr>
                  <w:r>
                    <w:rPr>
                      <w:rFonts w:ascii="仿宋_GB2312" w:hAnsi="仿宋_GB2312" w:cs="仿宋_GB2312" w:eastAsia="仿宋_GB2312"/>
                      <w:sz w:val="21"/>
                    </w:rPr>
                    <w:t>1.对接校级数据中心，自动汇聚资产设备、房屋、单位、人员等数据。</w:t>
                  </w:r>
                </w:p>
                <w:p>
                  <w:pPr>
                    <w:pStyle w:val="null3"/>
                  </w:pPr>
                  <w:r>
                    <w:rPr>
                      <w:rFonts w:ascii="仿宋_GB2312" w:hAnsi="仿宋_GB2312" w:cs="仿宋_GB2312" w:eastAsia="仿宋_GB2312"/>
                      <w:sz w:val="21"/>
                    </w:rPr>
                    <w:t>2.构建统一的数据模型，打通资产与所属单位、使用人、用途等核心信息的关联关系，实现资产与业务之间的映射。</w:t>
                  </w:r>
                </w:p>
                <w:p>
                  <w:pPr>
                    <w:pStyle w:val="null3"/>
                  </w:pPr>
                  <w:r>
                    <w:rPr>
                      <w:rFonts w:ascii="仿宋_GB2312" w:hAnsi="仿宋_GB2312" w:cs="仿宋_GB2312" w:eastAsia="仿宋_GB2312"/>
                      <w:sz w:val="21"/>
                    </w:rPr>
                    <w:t>3.建立房屋基础数据库，涵盖房号、所属楼宇、建筑面积、使用性质（教学、科研、办公、生活）、使用单位、使用状态等属性，形成房屋资源全景台账。</w:t>
                  </w:r>
                </w:p>
                <w:p>
                  <w:pPr>
                    <w:pStyle w:val="null3"/>
                  </w:pPr>
                  <w:r>
                    <w:rPr>
                      <w:rFonts w:ascii="仿宋_GB2312" w:hAnsi="仿宋_GB2312" w:cs="仿宋_GB2312" w:eastAsia="仿宋_GB2312"/>
                      <w:sz w:val="21"/>
                    </w:rPr>
                    <w:t>4.关联人员与设备数据，通过工号、资产归属等信息识别房屋实际使用状态，包括空置、超用、用途不符等情况。</w:t>
                  </w:r>
                </w:p>
              </w:tc>
            </w:tr>
            <w:tr>
              <w:tc>
                <w:tcPr>
                  <w:tcW w:type="dxa" w:w="593"/>
                  <w:vMerge/>
                  <w:tcBorders>
                    <w:top w:val="none" w:color="000000" w:sz="4"/>
                    <w:left w:val="single" w:color="000000" w:sz="4"/>
                    <w:bottom w:val="single" w:color="000000" w:sz="4"/>
                    <w:right w:val="single" w:color="000000" w:sz="4"/>
                  </w:tcBorders>
                </w:tcPr>
                <w:p/>
              </w:tc>
              <w:tc>
                <w:tcPr>
                  <w:tcW w:type="dxa" w:w="683"/>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指标体系构建与动态更新</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pPr>
                  <w:r>
                    <w:rPr>
                      <w:rFonts w:ascii="仿宋_GB2312" w:hAnsi="仿宋_GB2312" w:cs="仿宋_GB2312" w:eastAsia="仿宋_GB2312"/>
                      <w:sz w:val="21"/>
                    </w:rPr>
                    <w:t>1.建立覆盖资产配置、使用效率与对标评估的指标体系，涵盖资产总值、单位资产配置率、人均仪器设备值、人均房屋面积、生均教学用房面积等。</w:t>
                  </w:r>
                </w:p>
                <w:p>
                  <w:pPr>
                    <w:pStyle w:val="null3"/>
                  </w:pPr>
                  <w:r>
                    <w:rPr>
                      <w:rFonts w:ascii="仿宋_GB2312" w:hAnsi="仿宋_GB2312" w:cs="仿宋_GB2312" w:eastAsia="仿宋_GB2312"/>
                      <w:sz w:val="21"/>
                    </w:rPr>
                    <w:t>2.每项指标支持配置数据来源、计算逻辑、统计周期、归属单位与用途，确保定义统一、来源明确。</w:t>
                  </w:r>
                </w:p>
                <w:p>
                  <w:pPr>
                    <w:pStyle w:val="null3"/>
                  </w:pPr>
                  <w:r>
                    <w:rPr>
                      <w:rFonts w:ascii="仿宋_GB2312" w:hAnsi="仿宋_GB2312" w:cs="仿宋_GB2312" w:eastAsia="仿宋_GB2312"/>
                      <w:sz w:val="21"/>
                    </w:rPr>
                    <w:t>3.支持指标动态管理，具备新增、调整、停用等功能，适应政策变更与管理需求调整。</w:t>
                  </w:r>
                </w:p>
                <w:p>
                  <w:pPr>
                    <w:pStyle w:val="null3"/>
                  </w:pPr>
                  <w:r>
                    <w:rPr>
                      <w:rFonts w:ascii="仿宋_GB2312" w:hAnsi="仿宋_GB2312" w:cs="仿宋_GB2312" w:eastAsia="仿宋_GB2312"/>
                      <w:sz w:val="21"/>
                    </w:rPr>
                    <w:t>4.具体指标要求如下(在交付环节支持根据实际需求进行调整)：</w:t>
                  </w:r>
                </w:p>
                <w:p>
                  <w:pPr>
                    <w:pStyle w:val="null3"/>
                  </w:pPr>
                  <w:r>
                    <w:rPr>
                      <w:rFonts w:ascii="仿宋_GB2312" w:hAnsi="仿宋_GB2312" w:cs="仿宋_GB2312" w:eastAsia="仿宋_GB2312"/>
                      <w:sz w:val="21"/>
                      <w:b/>
                    </w:rPr>
                    <w:t>（1）国有资产管理综合概览</w:t>
                  </w:r>
                </w:p>
                <w:p>
                  <w:pPr>
                    <w:pStyle w:val="null3"/>
                  </w:pPr>
                  <w:r>
                    <w:rPr>
                      <w:rFonts w:ascii="仿宋_GB2312" w:hAnsi="仿宋_GB2312" w:cs="仿宋_GB2312" w:eastAsia="仿宋_GB2312"/>
                      <w:sz w:val="21"/>
                    </w:rPr>
                    <w:t>1)主要资产概况</w:t>
                  </w:r>
                </w:p>
                <w:p>
                  <w:pPr>
                    <w:pStyle w:val="null3"/>
                  </w:pPr>
                  <w:r>
                    <w:rPr>
                      <w:rFonts w:ascii="仿宋_GB2312" w:hAnsi="仿宋_GB2312" w:cs="仿宋_GB2312" w:eastAsia="仿宋_GB2312"/>
                      <w:sz w:val="21"/>
                    </w:rPr>
                    <w:t>2)近五年资产总值、净值、数量趋势</w:t>
                  </w:r>
                </w:p>
                <w:p>
                  <w:pPr>
                    <w:pStyle w:val="null3"/>
                  </w:pPr>
                  <w:r>
                    <w:rPr>
                      <w:rFonts w:ascii="仿宋_GB2312" w:hAnsi="仿宋_GB2312" w:cs="仿宋_GB2312" w:eastAsia="仿宋_GB2312"/>
                      <w:sz w:val="21"/>
                    </w:rPr>
                    <w:t>3)资产使用方向分布</w:t>
                  </w:r>
                </w:p>
                <w:p>
                  <w:pPr>
                    <w:pStyle w:val="null3"/>
                  </w:pPr>
                  <w:r>
                    <w:rPr>
                      <w:rFonts w:ascii="仿宋_GB2312" w:hAnsi="仿宋_GB2312" w:cs="仿宋_GB2312" w:eastAsia="仿宋_GB2312"/>
                      <w:sz w:val="21"/>
                    </w:rPr>
                    <w:t>4)生均资产配置</w:t>
                  </w:r>
                </w:p>
                <w:p>
                  <w:pPr>
                    <w:pStyle w:val="null3"/>
                  </w:pPr>
                  <w:r>
                    <w:rPr>
                      <w:rFonts w:ascii="仿宋_GB2312" w:hAnsi="仿宋_GB2312" w:cs="仿宋_GB2312" w:eastAsia="仿宋_GB2312"/>
                      <w:sz w:val="21"/>
                    </w:rPr>
                    <w:t>5)各校区公共用房总面积、生均面积</w:t>
                  </w:r>
                </w:p>
                <w:p>
                  <w:pPr>
                    <w:pStyle w:val="null3"/>
                  </w:pPr>
                  <w:r>
                    <w:rPr>
                      <w:rFonts w:ascii="仿宋_GB2312" w:hAnsi="仿宋_GB2312" w:cs="仿宋_GB2312" w:eastAsia="仿宋_GB2312"/>
                      <w:sz w:val="21"/>
                    </w:rPr>
                    <w:t>6)房屋面积分布</w:t>
                  </w:r>
                </w:p>
                <w:p>
                  <w:pPr>
                    <w:pStyle w:val="null3"/>
                  </w:pPr>
                  <w:r>
                    <w:rPr>
                      <w:rFonts w:ascii="仿宋_GB2312" w:hAnsi="仿宋_GB2312" w:cs="仿宋_GB2312" w:eastAsia="仿宋_GB2312"/>
                      <w:sz w:val="21"/>
                    </w:rPr>
                    <w:t>7)周转房分布情况</w:t>
                  </w:r>
                </w:p>
                <w:p>
                  <w:pPr>
                    <w:pStyle w:val="null3"/>
                  </w:pPr>
                  <w:r>
                    <w:rPr>
                      <w:rFonts w:ascii="仿宋_GB2312" w:hAnsi="仿宋_GB2312" w:cs="仿宋_GB2312" w:eastAsia="仿宋_GB2312"/>
                      <w:sz w:val="21"/>
                    </w:rPr>
                    <w:t>8)大型仪器按不同价值数量分布</w:t>
                  </w:r>
                </w:p>
                <w:p>
                  <w:pPr>
                    <w:pStyle w:val="null3"/>
                  </w:pPr>
                  <w:r>
                    <w:rPr>
                      <w:rFonts w:ascii="仿宋_GB2312" w:hAnsi="仿宋_GB2312" w:cs="仿宋_GB2312" w:eastAsia="仿宋_GB2312"/>
                      <w:sz w:val="21"/>
                    </w:rPr>
                    <w:t>9)近五年新增资产、报废处置资产走势</w:t>
                  </w:r>
                </w:p>
                <w:p>
                  <w:pPr>
                    <w:pStyle w:val="null3"/>
                  </w:pPr>
                  <w:r>
                    <w:rPr>
                      <w:rFonts w:ascii="仿宋_GB2312" w:hAnsi="仿宋_GB2312" w:cs="仿宋_GB2312" w:eastAsia="仿宋_GB2312"/>
                      <w:sz w:val="21"/>
                    </w:rPr>
                    <w:t>10)近三年经营性房屋收入趋势</w:t>
                  </w:r>
                </w:p>
                <w:p>
                  <w:pPr>
                    <w:pStyle w:val="null3"/>
                  </w:pPr>
                  <w:r>
                    <w:rPr>
                      <w:rFonts w:ascii="仿宋_GB2312" w:hAnsi="仿宋_GB2312" w:cs="仿宋_GB2312" w:eastAsia="仿宋_GB2312"/>
                      <w:sz w:val="21"/>
                      <w:b/>
                    </w:rPr>
                    <w:t>（2）资产使用情况分析</w:t>
                  </w:r>
                </w:p>
                <w:p>
                  <w:pPr>
                    <w:pStyle w:val="null3"/>
                  </w:pPr>
                  <w:r>
                    <w:rPr>
                      <w:rFonts w:ascii="仿宋_GB2312" w:hAnsi="仿宋_GB2312" w:cs="仿宋_GB2312" w:eastAsia="仿宋_GB2312"/>
                      <w:sz w:val="21"/>
                    </w:rPr>
                    <w:t>1)近五年固定资产走势</w:t>
                  </w:r>
                </w:p>
                <w:p>
                  <w:pPr>
                    <w:pStyle w:val="null3"/>
                  </w:pPr>
                  <w:r>
                    <w:rPr>
                      <w:rFonts w:ascii="仿宋_GB2312" w:hAnsi="仿宋_GB2312" w:cs="仿宋_GB2312" w:eastAsia="仿宋_GB2312"/>
                      <w:sz w:val="21"/>
                    </w:rPr>
                    <w:t>2)设备、家具用具资产超期服役情况</w:t>
                  </w:r>
                </w:p>
                <w:p>
                  <w:pPr>
                    <w:pStyle w:val="null3"/>
                  </w:pPr>
                  <w:r>
                    <w:rPr>
                      <w:rFonts w:ascii="仿宋_GB2312" w:hAnsi="仿宋_GB2312" w:cs="仿宋_GB2312" w:eastAsia="仿宋_GB2312"/>
                      <w:sz w:val="21"/>
                    </w:rPr>
                    <w:t>3)近五年五星资产走势</w:t>
                  </w:r>
                </w:p>
                <w:p>
                  <w:pPr>
                    <w:pStyle w:val="null3"/>
                  </w:pPr>
                  <w:r>
                    <w:rPr>
                      <w:rFonts w:ascii="仿宋_GB2312" w:hAnsi="仿宋_GB2312" w:cs="仿宋_GB2312" w:eastAsia="仿宋_GB2312"/>
                      <w:sz w:val="21"/>
                    </w:rPr>
                    <w:t>4)近五年仪器设备共享率趋势</w:t>
                  </w:r>
                </w:p>
                <w:p>
                  <w:pPr>
                    <w:pStyle w:val="null3"/>
                  </w:pPr>
                  <w:r>
                    <w:rPr>
                      <w:rFonts w:ascii="仿宋_GB2312" w:hAnsi="仿宋_GB2312" w:cs="仿宋_GB2312" w:eastAsia="仿宋_GB2312"/>
                      <w:sz w:val="21"/>
                    </w:rPr>
                    <w:t>5)资产盘活情况分析</w:t>
                  </w:r>
                </w:p>
                <w:p>
                  <w:pPr>
                    <w:pStyle w:val="null3"/>
                  </w:pPr>
                  <w:r>
                    <w:rPr>
                      <w:rFonts w:ascii="仿宋_GB2312" w:hAnsi="仿宋_GB2312" w:cs="仿宋_GB2312" w:eastAsia="仿宋_GB2312"/>
                      <w:sz w:val="21"/>
                    </w:rPr>
                    <w:t>6)教学单位生均固定资产情况</w:t>
                  </w:r>
                </w:p>
                <w:p>
                  <w:pPr>
                    <w:pStyle w:val="null3"/>
                  </w:pPr>
                  <w:r>
                    <w:rPr>
                      <w:rFonts w:ascii="仿宋_GB2312" w:hAnsi="仿宋_GB2312" w:cs="仿宋_GB2312" w:eastAsia="仿宋_GB2312"/>
                      <w:sz w:val="21"/>
                    </w:rPr>
                    <w:t>7)固定资产、无形资产按学院对比分析</w:t>
                  </w:r>
                </w:p>
                <w:p>
                  <w:pPr>
                    <w:pStyle w:val="null3"/>
                  </w:pPr>
                  <w:r>
                    <w:rPr>
                      <w:rFonts w:ascii="仿宋_GB2312" w:hAnsi="仿宋_GB2312" w:cs="仿宋_GB2312" w:eastAsia="仿宋_GB2312"/>
                      <w:sz w:val="21"/>
                      <w:b/>
                    </w:rPr>
                    <w:t>（3）房屋使用情况分析</w:t>
                  </w:r>
                </w:p>
                <w:p>
                  <w:pPr>
                    <w:pStyle w:val="null3"/>
                  </w:pPr>
                  <w:r>
                    <w:rPr>
                      <w:rFonts w:ascii="仿宋_GB2312" w:hAnsi="仿宋_GB2312" w:cs="仿宋_GB2312" w:eastAsia="仿宋_GB2312"/>
                      <w:sz w:val="21"/>
                    </w:rPr>
                    <w:t>1)房屋楼栋、在建楼栋、拆除楼栋</w:t>
                  </w:r>
                </w:p>
                <w:p>
                  <w:pPr>
                    <w:pStyle w:val="null3"/>
                  </w:pPr>
                  <w:r>
                    <w:rPr>
                      <w:rFonts w:ascii="仿宋_GB2312" w:hAnsi="仿宋_GB2312" w:cs="仿宋_GB2312" w:eastAsia="仿宋_GB2312"/>
                      <w:sz w:val="21"/>
                    </w:rPr>
                    <w:t>2)房屋按高基表分类</w:t>
                  </w:r>
                </w:p>
                <w:p>
                  <w:pPr>
                    <w:pStyle w:val="null3"/>
                  </w:pPr>
                  <w:r>
                    <w:rPr>
                      <w:rFonts w:ascii="仿宋_GB2312" w:hAnsi="仿宋_GB2312" w:cs="仿宋_GB2312" w:eastAsia="仿宋_GB2312"/>
                      <w:sz w:val="21"/>
                    </w:rPr>
                    <w:t>3)周转房预警</w:t>
                  </w:r>
                </w:p>
                <w:p>
                  <w:pPr>
                    <w:pStyle w:val="null3"/>
                  </w:pPr>
                  <w:r>
                    <w:rPr>
                      <w:rFonts w:ascii="仿宋_GB2312" w:hAnsi="仿宋_GB2312" w:cs="仿宋_GB2312" w:eastAsia="仿宋_GB2312"/>
                      <w:sz w:val="21"/>
                    </w:rPr>
                    <w:t>4)公房按建标分类</w:t>
                  </w:r>
                </w:p>
                <w:p>
                  <w:pPr>
                    <w:pStyle w:val="null3"/>
                  </w:pPr>
                  <w:r>
                    <w:rPr>
                      <w:rFonts w:ascii="仿宋_GB2312" w:hAnsi="仿宋_GB2312" w:cs="仿宋_GB2312" w:eastAsia="仿宋_GB2312"/>
                      <w:sz w:val="21"/>
                    </w:rPr>
                    <w:t>5)房屋分布情况</w:t>
                  </w:r>
                </w:p>
                <w:p>
                  <w:pPr>
                    <w:pStyle w:val="null3"/>
                  </w:pPr>
                  <w:r>
                    <w:rPr>
                      <w:rFonts w:ascii="仿宋_GB2312" w:hAnsi="仿宋_GB2312" w:cs="仿宋_GB2312" w:eastAsia="仿宋_GB2312"/>
                      <w:sz w:val="21"/>
                    </w:rPr>
                    <w:t>6)周转房使用情况</w:t>
                  </w:r>
                </w:p>
                <w:p>
                  <w:pPr>
                    <w:pStyle w:val="null3"/>
                  </w:pPr>
                  <w:r>
                    <w:rPr>
                      <w:rFonts w:ascii="仿宋_GB2312" w:hAnsi="仿宋_GB2312" w:cs="仿宋_GB2312" w:eastAsia="仿宋_GB2312"/>
                      <w:sz w:val="21"/>
                    </w:rPr>
                    <w:t>7)各校区公房对比</w:t>
                  </w:r>
                </w:p>
                <w:p>
                  <w:pPr>
                    <w:pStyle w:val="null3"/>
                  </w:pPr>
                  <w:r>
                    <w:rPr>
                      <w:rFonts w:ascii="仿宋_GB2312" w:hAnsi="仿宋_GB2312" w:cs="仿宋_GB2312" w:eastAsia="仿宋_GB2312"/>
                      <w:sz w:val="21"/>
                    </w:rPr>
                    <w:t>8)学院面积核算对比</w:t>
                  </w:r>
                </w:p>
                <w:p>
                  <w:pPr>
                    <w:pStyle w:val="null3"/>
                  </w:pPr>
                  <w:r>
                    <w:rPr>
                      <w:rFonts w:ascii="仿宋_GB2312" w:hAnsi="仿宋_GB2312" w:cs="仿宋_GB2312" w:eastAsia="仿宋_GB2312"/>
                      <w:sz w:val="21"/>
                      <w:b/>
                    </w:rPr>
                    <w:t>（4）经营管理情况分析</w:t>
                  </w:r>
                </w:p>
                <w:p>
                  <w:pPr>
                    <w:pStyle w:val="null3"/>
                  </w:pPr>
                  <w:r>
                    <w:rPr>
                      <w:rFonts w:ascii="仿宋_GB2312" w:hAnsi="仿宋_GB2312" w:cs="仿宋_GB2312" w:eastAsia="仿宋_GB2312"/>
                      <w:sz w:val="21"/>
                    </w:rPr>
                    <w:t>1)经营性房合同总收入、实际缴费、房屋总数、总建筑面积、车库数量、车位数量</w:t>
                  </w:r>
                </w:p>
                <w:p>
                  <w:pPr>
                    <w:pStyle w:val="null3"/>
                  </w:pPr>
                  <w:r>
                    <w:rPr>
                      <w:rFonts w:ascii="仿宋_GB2312" w:hAnsi="仿宋_GB2312" w:cs="仿宋_GB2312" w:eastAsia="仿宋_GB2312"/>
                      <w:sz w:val="21"/>
                    </w:rPr>
                    <w:t>2)各校区经营性房屋建筑面积分布</w:t>
                  </w:r>
                </w:p>
                <w:p>
                  <w:pPr>
                    <w:pStyle w:val="null3"/>
                  </w:pPr>
                  <w:r>
                    <w:rPr>
                      <w:rFonts w:ascii="仿宋_GB2312" w:hAnsi="仿宋_GB2312" w:cs="仿宋_GB2312" w:eastAsia="仿宋_GB2312"/>
                      <w:sz w:val="21"/>
                    </w:rPr>
                    <w:t>3)经营性房各经营业态房屋数量及收入比</w:t>
                  </w:r>
                </w:p>
                <w:p>
                  <w:pPr>
                    <w:pStyle w:val="null3"/>
                  </w:pPr>
                  <w:r>
                    <w:rPr>
                      <w:rFonts w:ascii="仿宋_GB2312" w:hAnsi="仿宋_GB2312" w:cs="仿宋_GB2312" w:eastAsia="仿宋_GB2312"/>
                      <w:sz w:val="21"/>
                    </w:rPr>
                    <w:t>4)近五年合同收入、运营成本、实际缴费走势</w:t>
                  </w:r>
                </w:p>
                <w:p>
                  <w:pPr>
                    <w:pStyle w:val="null3"/>
                  </w:pPr>
                  <w:r>
                    <w:rPr>
                      <w:rFonts w:ascii="仿宋_GB2312" w:hAnsi="仿宋_GB2312" w:cs="仿宋_GB2312" w:eastAsia="仿宋_GB2312"/>
                      <w:sz w:val="21"/>
                    </w:rPr>
                    <w:t>5)各校区经营性房屋数量对比</w:t>
                  </w:r>
                </w:p>
              </w:tc>
            </w:tr>
            <w:tr>
              <w:tc>
                <w:tcPr>
                  <w:tcW w:type="dxa" w:w="593"/>
                  <w:vMerge/>
                  <w:tcBorders>
                    <w:top w:val="none" w:color="000000" w:sz="4"/>
                    <w:left w:val="single" w:color="000000" w:sz="4"/>
                    <w:bottom w:val="single" w:color="000000" w:sz="4"/>
                    <w:right w:val="single" w:color="000000" w:sz="4"/>
                  </w:tcBorders>
                </w:tcPr>
                <w:p/>
              </w:tc>
              <w:tc>
                <w:tcPr>
                  <w:tcW w:type="dxa" w:w="683"/>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多维分析展示</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pPr>
                  <w:r>
                    <w:rPr>
                      <w:rFonts w:ascii="仿宋_GB2312" w:hAnsi="仿宋_GB2312" w:cs="仿宋_GB2312" w:eastAsia="仿宋_GB2312"/>
                      <w:sz w:val="21"/>
                    </w:rPr>
                    <w:t>1.至少包括学校、学院/部门二个数据驾驶舱；</w:t>
                  </w:r>
                </w:p>
                <w:p>
                  <w:pPr>
                    <w:pStyle w:val="null3"/>
                  </w:pPr>
                  <w:r>
                    <w:rPr>
                      <w:rFonts w:ascii="仿宋_GB2312" w:hAnsi="仿宋_GB2312" w:cs="仿宋_GB2312" w:eastAsia="仿宋_GB2312"/>
                      <w:sz w:val="21"/>
                    </w:rPr>
                    <w:t>2.提供从单位、人员、资产类别、用途、时间段等多维度的统计分析与趋势展示，支持资源配置结构、变化趋势、使用效率等的全面呈现。</w:t>
                  </w:r>
                </w:p>
                <w:p>
                  <w:pPr>
                    <w:pStyle w:val="null3"/>
                  </w:pPr>
                  <w:r>
                    <w:rPr>
                      <w:rFonts w:ascii="仿宋_GB2312" w:hAnsi="仿宋_GB2312" w:cs="仿宋_GB2312" w:eastAsia="仿宋_GB2312"/>
                      <w:sz w:val="21"/>
                    </w:rPr>
                    <w:t>3.支持与教务、科研等部门的核心指标进行比对分析，如教学课程数量vs教学设备配备、教师数量vs办公空间面积等。</w:t>
                  </w:r>
                </w:p>
                <w:p>
                  <w:pPr>
                    <w:pStyle w:val="null3"/>
                  </w:pPr>
                  <w:r>
                    <w:rPr>
                      <w:rFonts w:ascii="仿宋_GB2312" w:hAnsi="仿宋_GB2312" w:cs="仿宋_GB2312" w:eastAsia="仿宋_GB2312"/>
                      <w:sz w:val="21"/>
                    </w:rPr>
                    <w:t>4.对照教育部办学基本条件、生均资源标准等进行差距分析，识别资源超配、缺配情况，评估支撑人才培养、学科发展的能力。</w:t>
                  </w:r>
                </w:p>
                <w:p>
                  <w:pPr>
                    <w:pStyle w:val="null3"/>
                  </w:pPr>
                  <w:r>
                    <w:rPr>
                      <w:rFonts w:ascii="仿宋_GB2312" w:hAnsi="仿宋_GB2312" w:cs="仿宋_GB2312" w:eastAsia="仿宋_GB2312"/>
                      <w:sz w:val="21"/>
                    </w:rPr>
                    <w:t>5.支持按楼宇、楼层、房间级别下钻展示，实现从房屋资源总览到具体房间的可视化呈现。</w:t>
                  </w:r>
                </w:p>
                <w:p>
                  <w:pPr>
                    <w:pStyle w:val="null3"/>
                  </w:pPr>
                  <w:r>
                    <w:rPr>
                      <w:rFonts w:ascii="仿宋_GB2312" w:hAnsi="仿宋_GB2312" w:cs="仿宋_GB2312" w:eastAsia="仿宋_GB2312"/>
                      <w:sz w:val="21"/>
                    </w:rPr>
                    <w:t>6.提供基于人员/设备/权限等信息的房屋用途识别，辅助判断是否属于限制空间（如科研封闭区、安全区等），提示是否可共享、调整用途等。</w:t>
                  </w:r>
                </w:p>
                <w:p>
                  <w:pPr>
                    <w:pStyle w:val="null3"/>
                  </w:pPr>
                  <w:r>
                    <w:rPr>
                      <w:rFonts w:ascii="仿宋_GB2312" w:hAnsi="仿宋_GB2312" w:cs="仿宋_GB2312" w:eastAsia="仿宋_GB2312"/>
                      <w:sz w:val="21"/>
                    </w:rPr>
                    <w:t>7.自动识别和标记超标房间（如办公面积超编、教学空间不足），支持按严重程度分级展示，推动空间资源优化。</w:t>
                  </w:r>
                </w:p>
                <w:p>
                  <w:pPr>
                    <w:pStyle w:val="null3"/>
                  </w:pPr>
                  <w:r>
                    <w:rPr>
                      <w:rFonts w:ascii="仿宋_GB2312" w:hAnsi="仿宋_GB2312" w:cs="仿宋_GB2312" w:eastAsia="仿宋_GB2312"/>
                      <w:sz w:val="21"/>
                    </w:rPr>
                    <w:t>8.分析房屋资源对学生规模的承载能力，衡量现有资源对未来扩招或新专业开设的保障程度。</w:t>
                  </w:r>
                </w:p>
                <w:p>
                  <w:pPr>
                    <w:pStyle w:val="null3"/>
                  </w:pPr>
                  <w:r>
                    <w:rPr>
                      <w:rFonts w:ascii="仿宋_GB2312" w:hAnsi="仿宋_GB2312" w:cs="仿宋_GB2312" w:eastAsia="仿宋_GB2312"/>
                      <w:sz w:val="21"/>
                    </w:rPr>
                    <w:t>9.驾驶舱应支持将关键指标的当前数据，与国家标准或学校自定发展目标进行对比展示，清晰呈现当前水平、目标值及差距情况，辅助管理者掌握学校发展定位与阶段性成效。</w:t>
                  </w:r>
                </w:p>
              </w:tc>
            </w:tr>
            <w:tr>
              <w:tc>
                <w:tcPr>
                  <w:tcW w:type="dxa" w:w="593"/>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6</w:t>
                  </w:r>
                </w:p>
              </w:tc>
              <w:tc>
                <w:tcPr>
                  <w:tcW w:type="dxa" w:w="683"/>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both"/>
                  </w:pPr>
                  <w:r>
                    <w:rPr>
                      <w:rFonts w:ascii="仿宋_GB2312" w:hAnsi="仿宋_GB2312" w:cs="仿宋_GB2312" w:eastAsia="仿宋_GB2312"/>
                      <w:sz w:val="21"/>
                    </w:rPr>
                    <w:t>数据报告生成</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pPr>
                  <w:r>
                    <w:rPr>
                      <w:rFonts w:ascii="仿宋_GB2312" w:hAnsi="仿宋_GB2312" w:cs="仿宋_GB2312" w:eastAsia="仿宋_GB2312"/>
                      <w:sz w:val="21"/>
                    </w:rPr>
                    <w:t>1.综合业务报告生成</w:t>
                  </w:r>
                </w:p>
                <w:p>
                  <w:pPr>
                    <w:pStyle w:val="null3"/>
                  </w:pPr>
                  <w:r>
                    <w:rPr>
                      <w:rFonts w:ascii="仿宋_GB2312" w:hAnsi="仿宋_GB2312" w:cs="仿宋_GB2312" w:eastAsia="仿宋_GB2312"/>
                      <w:sz w:val="21"/>
                    </w:rPr>
                    <w:t>根据学校实际业务需求，完成不少于2个业务主题综合分析报告输出工作。可参考的典型主题包括：</w:t>
                  </w:r>
                </w:p>
                <w:p>
                  <w:pPr>
                    <w:pStyle w:val="null3"/>
                  </w:pPr>
                  <w:r>
                    <w:rPr>
                      <w:rFonts w:ascii="仿宋_GB2312" w:hAnsi="仿宋_GB2312" w:cs="仿宋_GB2312" w:eastAsia="仿宋_GB2312"/>
                      <w:sz w:val="21"/>
                    </w:rPr>
                    <w:t>1）学科建设目标推进表</w:t>
                  </w:r>
                </w:p>
                <w:p>
                  <w:pPr>
                    <w:pStyle w:val="null3"/>
                  </w:pPr>
                  <w:r>
                    <w:rPr>
                      <w:rFonts w:ascii="仿宋_GB2312" w:hAnsi="仿宋_GB2312" w:cs="仿宋_GB2312" w:eastAsia="仿宋_GB2312"/>
                      <w:sz w:val="21"/>
                    </w:rPr>
                    <w:t>2）人事考核分析报告</w:t>
                  </w:r>
                </w:p>
                <w:p>
                  <w:pPr>
                    <w:pStyle w:val="null3"/>
                  </w:pPr>
                  <w:r>
                    <w:rPr>
                      <w:rFonts w:ascii="仿宋_GB2312" w:hAnsi="仿宋_GB2312" w:cs="仿宋_GB2312" w:eastAsia="仿宋_GB2312"/>
                      <w:sz w:val="21"/>
                    </w:rPr>
                    <w:t>承建单位应依据学校提供的内容结构、展示要求及可用数据范围，完成所选业务场景的报告设计与制作，确保报告内容准确、逻辑清晰、格式规范、展示完整，满足学校阶段性总结与管理决策使用需求。</w:t>
                  </w:r>
                </w:p>
                <w:p>
                  <w:pPr>
                    <w:pStyle w:val="null3"/>
                  </w:pPr>
                  <w:r>
                    <w:rPr>
                      <w:rFonts w:ascii="仿宋_GB2312" w:hAnsi="仿宋_GB2312" w:cs="仿宋_GB2312" w:eastAsia="仿宋_GB2312"/>
                      <w:sz w:val="21"/>
                    </w:rPr>
                    <w:t>2.数据分析结论与展示</w:t>
                  </w:r>
                </w:p>
                <w:p>
                  <w:pPr>
                    <w:pStyle w:val="null3"/>
                  </w:pPr>
                  <w:r>
                    <w:rPr>
                      <w:rFonts w:ascii="仿宋_GB2312" w:hAnsi="仿宋_GB2312" w:cs="仿宋_GB2312" w:eastAsia="仿宋_GB2312"/>
                      <w:sz w:val="21"/>
                    </w:rPr>
                    <w:t>在学科建设、人事绩效、科研（纵向与横向项目）、资产等分析场景页面中，直接生成并展示基于数据分析结果的结论性内容，支持在全校、学院、个人等不同层级对相关业务数据的分析结果进行直观呈现。</w:t>
                  </w:r>
                </w:p>
                <w:p>
                  <w:pPr>
                    <w:pStyle w:val="null3"/>
                  </w:pPr>
                  <w:r>
                    <w:rPr>
                      <w:rFonts w:ascii="仿宋_GB2312" w:hAnsi="仿宋_GB2312" w:cs="仿宋_GB2312" w:eastAsia="仿宋_GB2312"/>
                      <w:sz w:val="21"/>
                    </w:rPr>
                    <w:t>结论展示应以业务分析结果为核心，通过对比分析、水平分布、排名情况、趋势变化及简要预测等方式，清晰反映分析对象在全校或同类范围内所处位置和变化态势，并结合业务规则和数据特征，形成 简要、明确、可理解的分析结论。</w:t>
                  </w:r>
                </w:p>
                <w:p>
                  <w:pPr>
                    <w:pStyle w:val="null3"/>
                  </w:pPr>
                  <w:r>
                    <w:rPr>
                      <w:rFonts w:ascii="仿宋_GB2312" w:hAnsi="仿宋_GB2312" w:cs="仿宋_GB2312" w:eastAsia="仿宋_GB2312"/>
                      <w:sz w:val="21"/>
                    </w:rPr>
                    <w:t>在此基础上，可根据分析结果提供方向性提示或改进建议，用于辅助管理研判和个人发展参考。相关建议以数据分析结果为依据，不涉及自动决策或业务处置。具体展示主题、分析维度、呈现形式及结论表达内容，由学校根据实际需求确定，承建单位负责按要求完成配置与实现。</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sz w:val="21"/>
                <w:b/>
              </w:rPr>
              <w:t>功能要求3（数据补充及对接集成）：</w:t>
            </w:r>
          </w:p>
          <w:tbl>
            <w:tblPr>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序号</w:t>
                  </w:r>
                </w:p>
              </w:tc>
              <w:tc>
                <w:tcPr>
                  <w:tcW w:type="dxa" w:w="638"/>
                  <w:tcBorders>
                    <w:top w:val="singl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模块</w:t>
                  </w:r>
                </w:p>
              </w:tc>
              <w:tc>
                <w:tcPr>
                  <w:tcW w:type="dxa" w:w="638"/>
                  <w:tcBorders>
                    <w:top w:val="singl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功能</w:t>
                  </w:r>
                </w:p>
              </w:tc>
              <w:tc>
                <w:tcPr>
                  <w:tcW w:type="dxa" w:w="638"/>
                  <w:tcBorders>
                    <w:top w:val="singl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技术要求</w:t>
                  </w:r>
                </w:p>
              </w:tc>
            </w:tr>
            <w:tr>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numPr>
                      <w:ilvl w:val="0"/>
                      <w:numId w:val="1"/>
                    </w:numPr>
                    <w:jc w:val="both"/>
                  </w:pPr>
                </w:p>
              </w:tc>
              <w:tc>
                <w:tcPr>
                  <w:tcW w:type="dxa" w:w="638"/>
                  <w:vMerge w:val="restart"/>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both"/>
                  </w:pPr>
                  <w:r>
                    <w:rPr>
                      <w:rFonts w:ascii="仿宋_GB2312" w:hAnsi="仿宋_GB2312" w:cs="仿宋_GB2312" w:eastAsia="仿宋_GB2312"/>
                      <w:sz w:val="21"/>
                    </w:rPr>
                    <w:t>数据补充及对接集成</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总体要求</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pPr>
                  <w:r>
                    <w:rPr>
                      <w:rFonts w:ascii="仿宋_GB2312" w:hAnsi="仿宋_GB2312" w:cs="仿宋_GB2312" w:eastAsia="仿宋_GB2312"/>
                      <w:sz w:val="21"/>
                    </w:rPr>
                    <w:t>1)围绕本项目分析主题开展数据调研与现状盘点，形成数据项清单与指标口径说明（含口径来源、责任单位、更新周期、质量标准）。</w:t>
                  </w:r>
                </w:p>
                <w:p>
                  <w:pPr>
                    <w:pStyle w:val="null3"/>
                  </w:pPr>
                  <w:r>
                    <w:rPr>
                      <w:rFonts w:ascii="仿宋_GB2312" w:hAnsi="仿宋_GB2312" w:cs="仿宋_GB2312" w:eastAsia="仿宋_GB2312"/>
                      <w:sz w:val="21"/>
                    </w:rPr>
                    <w:t>2)完成数据梳理—清洗—整合—口径统一，产出权威数据源与口径对照表，明确主数据/参照数据的管理策略与变更流程。</w:t>
                  </w:r>
                </w:p>
                <w:p>
                  <w:pPr>
                    <w:pStyle w:val="null3"/>
                  </w:pPr>
                  <w:r>
                    <w:rPr>
                      <w:rFonts w:ascii="仿宋_GB2312" w:hAnsi="仿宋_GB2312" w:cs="仿宋_GB2312" w:eastAsia="仿宋_GB2312"/>
                      <w:sz w:val="21"/>
                    </w:rPr>
                    <w:t>3)在项目实施及维护期间，如学校数据中台因故障或其他原因导致中断数据服务，承建方须根据采购方要求提供可行的备用方案，确保项目功能持续可用，项目建设和运维工作正常推进。上述方案的设计、配置、调试及使用均不得向采购方收取任何额外费用。承建方应在项目启动阶段提交相应的应急预案，明确数据获取、处理、同步及系统运行的临时策略。</w:t>
                  </w:r>
                </w:p>
                <w:p>
                  <w:pPr>
                    <w:pStyle w:val="null3"/>
                  </w:pPr>
                  <w:r>
                    <w:rPr>
                      <w:rFonts w:ascii="仿宋_GB2312" w:hAnsi="仿宋_GB2312" w:cs="仿宋_GB2312" w:eastAsia="仿宋_GB2312"/>
                      <w:sz w:val="21"/>
                    </w:rPr>
                    <w:t>4）针对学校现有编码体系需要更新的现状，结合国家/教育行业标准及学校未来发展规划，为全校信息化建设制定一套全新的、统一的编码方案。该方案需涵盖关键业务实体的编码规则，确保编码的唯一性、科学性和可扩展性，并出具《学校数据编码标准规范》。</w:t>
                  </w:r>
                </w:p>
              </w:tc>
            </w:tr>
            <w:tr>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numPr>
                      <w:ilvl w:val="0"/>
                      <w:numId w:val="1"/>
                    </w:numPr>
                    <w:jc w:val="both"/>
                  </w:pP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数据源管理</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pPr>
                  <w:r>
                    <w:rPr>
                      <w:rFonts w:ascii="仿宋_GB2312" w:hAnsi="仿宋_GB2312" w:cs="仿宋_GB2312" w:eastAsia="仿宋_GB2312"/>
                      <w:sz w:val="21"/>
                    </w:rPr>
                    <w:t>1)外部数据源接入：支持新增外部数据源作为指标/标签来源；数据库类型应覆盖国产数据库与主流关系型数据库（包括但不限于 openGauss、达梦、人大金仓、OceanBase、Oracle、PostgreSQL、SQL Server、MySQL 等），并可扩展至文件/接口类源（CSV/JSON/REST 等）。</w:t>
                  </w:r>
                </w:p>
                <w:p>
                  <w:pPr>
                    <w:pStyle w:val="null3"/>
                  </w:pPr>
                  <w:r>
                    <w:rPr>
                      <w:rFonts w:ascii="仿宋_GB2312" w:hAnsi="仿宋_GB2312" w:cs="仿宋_GB2312" w:eastAsia="仿宋_GB2312"/>
                      <w:sz w:val="21"/>
                    </w:rPr>
                    <w:t>2)可视浏览：可查看数据源的 schema/表清单，支持表结构与样例数据预览。</w:t>
                  </w:r>
                </w:p>
                <w:p>
                  <w:pPr>
                    <w:pStyle w:val="null3"/>
                  </w:pPr>
                  <w:r>
                    <w:rPr>
                      <w:rFonts w:ascii="仿宋_GB2312" w:hAnsi="仿宋_GB2312" w:cs="仿宋_GB2312" w:eastAsia="仿宋_GB2312"/>
                      <w:sz w:val="21"/>
                    </w:rPr>
                    <w:t>3)生命周期管理：支持对接入数据源进行编辑、启用、停用、删除等操作，变更需留痕可审计。</w:t>
                  </w:r>
                </w:p>
                <w:p>
                  <w:pPr>
                    <w:pStyle w:val="null3"/>
                  </w:pPr>
                  <w:r>
                    <w:rPr>
                      <w:rFonts w:ascii="仿宋_GB2312" w:hAnsi="仿宋_GB2312" w:cs="仿宋_GB2312" w:eastAsia="仿宋_GB2312"/>
                      <w:sz w:val="21"/>
                    </w:rPr>
                    <w:t>4)数据集构建：支持自定义创建数据集以获取外部源数据并进行加工处理，支持“新增表/新增视图”等方式生成数据集。</w:t>
                  </w:r>
                </w:p>
                <w:p>
                  <w:pPr>
                    <w:pStyle w:val="null3"/>
                  </w:pPr>
                  <w:r>
                    <w:rPr>
                      <w:rFonts w:ascii="仿宋_GB2312" w:hAnsi="仿宋_GB2312" w:cs="仿宋_GB2312" w:eastAsia="仿宋_GB2312"/>
                      <w:sz w:val="21"/>
                    </w:rPr>
                    <w:t>5)物化能力：支持物化视图或等效能力，对高耗时查询（如 JOIN、聚合）提供结果持久化与可配置刷新策略（如每15分钟/每小时/每日/每月等）。</w:t>
                  </w:r>
                </w:p>
                <w:p>
                  <w:pPr>
                    <w:pStyle w:val="null3"/>
                  </w:pPr>
                  <w:r>
                    <w:rPr>
                      <w:rFonts w:ascii="仿宋_GB2312" w:hAnsi="仿宋_GB2312" w:cs="仿宋_GB2312" w:eastAsia="仿宋_GB2312"/>
                      <w:sz w:val="21"/>
                    </w:rPr>
                    <w:t>6)分类管理：支持数据集分类的新增、编辑、删除与按分类浏览。</w:t>
                  </w:r>
                </w:p>
                <w:p>
                  <w:pPr>
                    <w:pStyle w:val="null3"/>
                  </w:pPr>
                  <w:r>
                    <w:rPr>
                      <w:rFonts w:ascii="仿宋_GB2312" w:hAnsi="仿宋_GB2312" w:cs="仿宋_GB2312" w:eastAsia="仿宋_GB2312"/>
                      <w:sz w:val="21"/>
                    </w:rPr>
                    <w:t>7)▲支持 SQL/脚本/ETL 工具等多种开发方式，以适配不同数据准备场景；</w:t>
                  </w:r>
                </w:p>
                <w:p>
                  <w:pPr>
                    <w:pStyle w:val="null3"/>
                  </w:pPr>
                  <w:r>
                    <w:rPr>
                      <w:rFonts w:ascii="仿宋_GB2312" w:hAnsi="仿宋_GB2312" w:cs="仿宋_GB2312" w:eastAsia="仿宋_GB2312"/>
                      <w:sz w:val="21"/>
                    </w:rPr>
                    <w:t>8)数据预览与查询：支持对数据集进行数据展示与条件查询。</w:t>
                  </w:r>
                </w:p>
                <w:p>
                  <w:pPr>
                    <w:pStyle w:val="null3"/>
                  </w:pPr>
                  <w:r>
                    <w:rPr>
                      <w:rFonts w:ascii="仿宋_GB2312" w:hAnsi="仿宋_GB2312" w:cs="仿宋_GB2312" w:eastAsia="仿宋_GB2312"/>
                      <w:sz w:val="21"/>
                    </w:rPr>
                    <w:t>9)运维操作：已创建数据集支持编辑、启用、停用、删除与清空等操作；关键操作需权限控制与审计；</w:t>
                  </w:r>
                </w:p>
              </w:tc>
            </w:tr>
            <w:tr>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both"/>
                  </w:pPr>
                  <w:r>
                    <w:rPr>
                      <w:rFonts w:ascii="仿宋_GB2312" w:hAnsi="仿宋_GB2312" w:cs="仿宋_GB2312" w:eastAsia="仿宋_GB2312"/>
                      <w:sz w:val="21"/>
                    </w:rPr>
                    <w:t>3</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数据指标管理</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pPr>
                  <w:r>
                    <w:rPr>
                      <w:rFonts w:ascii="仿宋_GB2312" w:hAnsi="仿宋_GB2312" w:cs="仿宋_GB2312" w:eastAsia="仿宋_GB2312"/>
                      <w:sz w:val="21"/>
                    </w:rPr>
                    <w:t>1.▲指标定义与开发：</w:t>
                  </w:r>
                </w:p>
                <w:p>
                  <w:pPr>
                    <w:pStyle w:val="null3"/>
                  </w:pPr>
                  <w:r>
                    <w:rPr>
                      <w:rFonts w:ascii="仿宋_GB2312" w:hAnsi="仿宋_GB2312" w:cs="仿宋_GB2312" w:eastAsia="仿宋_GB2312"/>
                      <w:sz w:val="21"/>
                    </w:rPr>
                    <w:t>1)提供低代码与SQL两类定义方式，可在可视模式或 SQL 模式下完成指标开发；</w:t>
                  </w:r>
                </w:p>
                <w:p>
                  <w:pPr>
                    <w:pStyle w:val="null3"/>
                  </w:pPr>
                  <w:r>
                    <w:rPr>
                      <w:rFonts w:ascii="仿宋_GB2312" w:hAnsi="仿宋_GB2312" w:cs="仿宋_GB2312" w:eastAsia="仿宋_GB2312"/>
                      <w:sz w:val="21"/>
                    </w:rPr>
                    <w:t>2)可视模式至少支持“基于数据集/基于单指标/基于多指标”的开发路径；</w:t>
                  </w:r>
                </w:p>
                <w:p>
                  <w:pPr>
                    <w:pStyle w:val="null3"/>
                  </w:pPr>
                  <w:r>
                    <w:rPr>
                      <w:rFonts w:ascii="仿宋_GB2312" w:hAnsi="仿宋_GB2312" w:cs="仿宋_GB2312" w:eastAsia="仿宋_GB2312"/>
                      <w:sz w:val="21"/>
                    </w:rPr>
                    <w:t>3)指标定义内容应包含基础信息、业务属性、计算逻辑、调度计划等。</w:t>
                  </w:r>
                </w:p>
                <w:p>
                  <w:pPr>
                    <w:pStyle w:val="null3"/>
                  </w:pPr>
                  <w:r>
                    <w:rPr>
                      <w:rFonts w:ascii="仿宋_GB2312" w:hAnsi="仿宋_GB2312" w:cs="仿宋_GB2312" w:eastAsia="仿宋_GB2312"/>
                      <w:sz w:val="21"/>
                    </w:rPr>
                    <w:t>2.指标属性：</w:t>
                  </w:r>
                </w:p>
                <w:p>
                  <w:pPr>
                    <w:pStyle w:val="null3"/>
                  </w:pPr>
                  <w:r>
                    <w:rPr>
                      <w:rFonts w:ascii="仿宋_GB2312" w:hAnsi="仿宋_GB2312" w:cs="仿宋_GB2312" w:eastAsia="仿宋_GB2312"/>
                      <w:sz w:val="21"/>
                    </w:rPr>
                    <w:t>4)基础信息：指标编码、指标名称、物理表（或视图）名、指标分类。</w:t>
                  </w:r>
                </w:p>
                <w:p>
                  <w:pPr>
                    <w:pStyle w:val="null3"/>
                  </w:pPr>
                  <w:r>
                    <w:rPr>
                      <w:rFonts w:ascii="仿宋_GB2312" w:hAnsi="仿宋_GB2312" w:cs="仿宋_GB2312" w:eastAsia="仿宋_GB2312"/>
                      <w:sz w:val="21"/>
                    </w:rPr>
                    <w:t>5)业务属性：业务口径、计量单位、负责人与责任部门、更新频率。</w:t>
                  </w:r>
                </w:p>
                <w:p>
                  <w:pPr>
                    <w:pStyle w:val="null3"/>
                  </w:pPr>
                  <w:r>
                    <w:rPr>
                      <w:rFonts w:ascii="仿宋_GB2312" w:hAnsi="仿宋_GB2312" w:cs="仿宋_GB2312" w:eastAsia="仿宋_GB2312"/>
                      <w:sz w:val="21"/>
                    </w:rPr>
                    <w:t>3.▲计算逻辑：</w:t>
                  </w:r>
                </w:p>
                <w:p>
                  <w:pPr>
                    <w:pStyle w:val="null3"/>
                  </w:pPr>
                  <w:r>
                    <w:rPr>
                      <w:rFonts w:ascii="仿宋_GB2312" w:hAnsi="仿宋_GB2312" w:cs="仿宋_GB2312" w:eastAsia="仿宋_GB2312"/>
                      <w:sz w:val="21"/>
                    </w:rPr>
                    <w:t>6）基于数据集开发应支持数据集来源、分析维度、统计方式、过滤条件；统计方式覆盖聚合、占比、排名、取值；支持选择数据集或关联维度表字段作为分析维度；日期/日期时间字段支持时间上卷（年/季/月/周/日等）</w:t>
                  </w:r>
                </w:p>
                <w:p>
                  <w:pPr>
                    <w:pStyle w:val="null3"/>
                  </w:pPr>
                  <w:r>
                    <w:rPr>
                      <w:rFonts w:ascii="仿宋_GB2312" w:hAnsi="仿宋_GB2312" w:cs="仿宋_GB2312" w:eastAsia="仿宋_GB2312"/>
                      <w:sz w:val="21"/>
                    </w:rPr>
                    <w:t>7) 基于单指标开发支持聚合、占比、排名、取值、环比等统计方式；</w:t>
                  </w:r>
                </w:p>
                <w:p>
                  <w:pPr>
                    <w:pStyle w:val="null3"/>
                  </w:pPr>
                  <w:r>
                    <w:rPr>
                      <w:rFonts w:ascii="仿宋_GB2312" w:hAnsi="仿宋_GB2312" w:cs="仿宋_GB2312" w:eastAsia="仿宋_GB2312"/>
                      <w:sz w:val="21"/>
                    </w:rPr>
                    <w:t>8) 基于多指标开发支持四则运算与常见数据函数；（如舍入、取整、条件函数等）。</w:t>
                  </w:r>
                </w:p>
                <w:p>
                  <w:pPr>
                    <w:pStyle w:val="null3"/>
                  </w:pPr>
                  <w:r>
                    <w:rPr>
                      <w:rFonts w:ascii="仿宋_GB2312" w:hAnsi="仿宋_GB2312" w:cs="仿宋_GB2312" w:eastAsia="仿宋_GB2312"/>
                      <w:sz w:val="21"/>
                    </w:rPr>
                    <w:t>9)基于多指标开发支持四则运算与常见数据函数（如舍入、取整、条件函数等）。</w:t>
                  </w:r>
                </w:p>
                <w:p>
                  <w:pPr>
                    <w:pStyle w:val="null3"/>
                  </w:pPr>
                  <w:r>
                    <w:rPr>
                      <w:rFonts w:ascii="仿宋_GB2312" w:hAnsi="仿宋_GB2312" w:cs="仿宋_GB2312" w:eastAsia="仿宋_GB2312"/>
                      <w:sz w:val="21"/>
                    </w:rPr>
                    <w:t>4.统计方式：</w:t>
                  </w:r>
                </w:p>
                <w:p>
                  <w:pPr>
                    <w:pStyle w:val="null3"/>
                  </w:pPr>
                  <w:r>
                    <w:rPr>
                      <w:rFonts w:ascii="仿宋_GB2312" w:hAnsi="仿宋_GB2312" w:cs="仿宋_GB2312" w:eastAsia="仿宋_GB2312"/>
                      <w:sz w:val="21"/>
                    </w:rPr>
                    <w:t>10)聚合：支持sum、count、count distinct、avg、max、min等。</w:t>
                  </w:r>
                </w:p>
                <w:p>
                  <w:pPr>
                    <w:pStyle w:val="null3"/>
                  </w:pPr>
                  <w:r>
                    <w:rPr>
                      <w:rFonts w:ascii="仿宋_GB2312" w:hAnsi="仿宋_GB2312" w:cs="仿宋_GB2312" w:eastAsia="仿宋_GB2312"/>
                      <w:sz w:val="21"/>
                    </w:rPr>
                    <w:t>11)占比：可设置占比字段与数据范围（全量/分组内），分组可自定义。</w:t>
                  </w:r>
                </w:p>
                <w:p>
                  <w:pPr>
                    <w:pStyle w:val="null3"/>
                  </w:pPr>
                  <w:r>
                    <w:rPr>
                      <w:rFonts w:ascii="仿宋_GB2312" w:hAnsi="仿宋_GB2312" w:cs="仿宋_GB2312" w:eastAsia="仿宋_GB2312"/>
                      <w:sz w:val="21"/>
                    </w:rPr>
                    <w:t>12)排名：支持排名字段、升降序、排名算法与范围（全量/分组内）。</w:t>
                  </w:r>
                </w:p>
                <w:p>
                  <w:pPr>
                    <w:pStyle w:val="null3"/>
                  </w:pPr>
                  <w:r>
                    <w:rPr>
                      <w:rFonts w:ascii="仿宋_GB2312" w:hAnsi="仿宋_GB2312" w:cs="仿宋_GB2312" w:eastAsia="仿宋_GB2312"/>
                      <w:sz w:val="21"/>
                    </w:rPr>
                    <w:t>13)取值：支持按字段或表达式取值。</w:t>
                  </w:r>
                </w:p>
                <w:p>
                  <w:pPr>
                    <w:pStyle w:val="null3"/>
                  </w:pPr>
                  <w:r>
                    <w:rPr>
                      <w:rFonts w:ascii="仿宋_GB2312" w:hAnsi="仿宋_GB2312" w:cs="仿宋_GB2312" w:eastAsia="仿宋_GB2312"/>
                      <w:sz w:val="21"/>
                    </w:rPr>
                    <w:t>14)环比：支持选择环比字段与统计类型（环比值、环比增长量、环比增长率）。</w:t>
                  </w:r>
                </w:p>
                <w:p>
                  <w:pPr>
                    <w:pStyle w:val="null3"/>
                  </w:pPr>
                  <w:r>
                    <w:rPr>
                      <w:rFonts w:ascii="仿宋_GB2312" w:hAnsi="仿宋_GB2312" w:cs="仿宋_GB2312" w:eastAsia="仿宋_GB2312"/>
                      <w:sz w:val="21"/>
                    </w:rPr>
                    <w:t>5.调度与管理：</w:t>
                  </w:r>
                </w:p>
                <w:p>
                  <w:pPr>
                    <w:pStyle w:val="null3"/>
                  </w:pPr>
                  <w:r>
                    <w:rPr>
                      <w:rFonts w:ascii="仿宋_GB2312" w:hAnsi="仿宋_GB2312" w:cs="仿宋_GB2312" w:eastAsia="仿宋_GB2312"/>
                      <w:sz w:val="21"/>
                    </w:rPr>
                    <w:t>15) 任务调度：可创建指标计算任务，支持写入策略（清空后写入/增量写入/全量比较后写入等）与调度计划配置。</w:t>
                  </w:r>
                </w:p>
                <w:p>
                  <w:pPr>
                    <w:pStyle w:val="null3"/>
                  </w:pPr>
                  <w:r>
                    <w:rPr>
                      <w:rFonts w:ascii="仿宋_GB2312" w:hAnsi="仿宋_GB2312" w:cs="仿宋_GB2312" w:eastAsia="仿宋_GB2312"/>
                      <w:sz w:val="21"/>
                    </w:rPr>
                    <w:t>16) 分类与维护：支持指标编辑、删除与分类管理（新增/编辑/删除分类）。</w:t>
                  </w:r>
                </w:p>
                <w:p>
                  <w:pPr>
                    <w:pStyle w:val="null3"/>
                  </w:pPr>
                  <w:r>
                    <w:rPr>
                      <w:rFonts w:ascii="仿宋_GB2312" w:hAnsi="仿宋_GB2312" w:cs="仿宋_GB2312" w:eastAsia="仿宋_GB2312"/>
                      <w:sz w:val="21"/>
                    </w:rPr>
                    <w:t>17) 结构预览：支持指标表结构预览。</w:t>
                  </w:r>
                </w:p>
                <w:p>
                  <w:pPr>
                    <w:pStyle w:val="null3"/>
                  </w:pPr>
                  <w:r>
                    <w:rPr>
                      <w:rFonts w:ascii="仿宋_GB2312" w:hAnsi="仿宋_GB2312" w:cs="仿宋_GB2312" w:eastAsia="仿宋_GB2312"/>
                      <w:sz w:val="21"/>
                    </w:rPr>
                    <w:t>18) 试计算：支持试计算并输出可读的计算 SQL 及通过/不通过提示。</w:t>
                  </w:r>
                </w:p>
                <w:p>
                  <w:pPr>
                    <w:pStyle w:val="null3"/>
                  </w:pPr>
                  <w:r>
                    <w:rPr>
                      <w:rFonts w:ascii="仿宋_GB2312" w:hAnsi="仿宋_GB2312" w:cs="仿宋_GB2312" w:eastAsia="仿宋_GB2312"/>
                      <w:sz w:val="21"/>
                    </w:rPr>
                    <w:t>19) 数据查看：支持指标数据查询与展示。</w:t>
                  </w:r>
                </w:p>
                <w:p>
                  <w:pPr>
                    <w:pStyle w:val="null3"/>
                  </w:pPr>
                  <w:r>
                    <w:rPr>
                      <w:rFonts w:ascii="仿宋_GB2312" w:hAnsi="仿宋_GB2312" w:cs="仿宋_GB2312" w:eastAsia="仿宋_GB2312"/>
                      <w:sz w:val="21"/>
                    </w:rPr>
                    <w:t>20) 数据清空：支持指标数据清空（具备权限控制与确认机制）。</w:t>
                  </w:r>
                </w:p>
              </w:tc>
            </w:tr>
            <w:tr>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both"/>
                  </w:pPr>
                  <w:r>
                    <w:rPr>
                      <w:rFonts w:ascii="仿宋_GB2312" w:hAnsi="仿宋_GB2312" w:cs="仿宋_GB2312" w:eastAsia="仿宋_GB2312"/>
                      <w:sz w:val="21"/>
                    </w:rPr>
                    <w:t>4</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标签管理</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pPr>
                  <w:r>
                    <w:rPr>
                      <w:rFonts w:ascii="仿宋_GB2312" w:hAnsi="仿宋_GB2312" w:cs="仿宋_GB2312" w:eastAsia="仿宋_GB2312"/>
                      <w:sz w:val="21"/>
                    </w:rPr>
                    <w:t>1)标签定义：支持自定义标签，包含基础属性（编码、名称、物理字段名）与业务属性（打标对象、是否多值、负责人、打标逻辑、值域空间等）。</w:t>
                  </w:r>
                </w:p>
                <w:p>
                  <w:pPr>
                    <w:pStyle w:val="null3"/>
                  </w:pPr>
                  <w:r>
                    <w:rPr>
                      <w:rFonts w:ascii="仿宋_GB2312" w:hAnsi="仿宋_GB2312" w:cs="仿宋_GB2312" w:eastAsia="仿宋_GB2312"/>
                      <w:sz w:val="21"/>
                    </w:rPr>
                    <w:t>2)▲标签开发：支持从数据集或指标采集数据，创建标签任务对对象进行打标；开发方式支持SQL/脚本/ETL 工具等多样化方式。</w:t>
                  </w:r>
                </w:p>
                <w:p>
                  <w:pPr>
                    <w:pStyle w:val="null3"/>
                  </w:pPr>
                  <w:r>
                    <w:rPr>
                      <w:rFonts w:ascii="仿宋_GB2312" w:hAnsi="仿宋_GB2312" w:cs="仿宋_GB2312" w:eastAsia="仿宋_GB2312"/>
                      <w:sz w:val="21"/>
                    </w:rPr>
                    <w:t>3)标签运维：支持标签编辑、删除、分类管理（新增/编辑/删除）。</w:t>
                  </w:r>
                </w:p>
                <w:p>
                  <w:pPr>
                    <w:pStyle w:val="null3"/>
                  </w:pPr>
                  <w:r>
                    <w:rPr>
                      <w:rFonts w:ascii="仿宋_GB2312" w:hAnsi="仿宋_GB2312" w:cs="仿宋_GB2312" w:eastAsia="仿宋_GB2312"/>
                      <w:sz w:val="21"/>
                    </w:rPr>
                    <w:t>4)标签数据：支持标签数据展示与查询；支持标签数据清空；</w:t>
                  </w:r>
                </w:p>
              </w:tc>
            </w:tr>
            <w:tr>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both"/>
                  </w:pPr>
                  <w:r>
                    <w:rPr>
                      <w:rFonts w:ascii="仿宋_GB2312" w:hAnsi="仿宋_GB2312" w:cs="仿宋_GB2312" w:eastAsia="仿宋_GB2312"/>
                      <w:sz w:val="21"/>
                    </w:rPr>
                    <w:t>5</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1"/>
                    </w:rPr>
                    <w:t>数据共享</w:t>
                  </w:r>
                </w:p>
              </w:tc>
              <w:tc>
                <w:tcPr>
                  <w:tcW w:type="dxa" w:w="638"/>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pPr>
                  <w:r>
                    <w:rPr>
                      <w:rFonts w:ascii="仿宋_GB2312" w:hAnsi="仿宋_GB2312" w:cs="仿宋_GB2312" w:eastAsia="仿宋_GB2312"/>
                      <w:sz w:val="21"/>
                    </w:rPr>
                    <w:t>1)按应用/业务域对共享数据进行逻辑隔离与分域管理，支持新建、编辑、停用与删除共享域（含数据对象与权限边界）；每个共享域需明确数据范围、口径说明、更新策略与责任人，关键变更须留痕可审计。</w:t>
                  </w:r>
                </w:p>
                <w:p>
                  <w:pPr>
                    <w:pStyle w:val="null3"/>
                  </w:pPr>
                  <w:r>
                    <w:rPr>
                      <w:rFonts w:ascii="仿宋_GB2312" w:hAnsi="仿宋_GB2312" w:cs="仿宋_GB2312" w:eastAsia="仿宋_GB2312"/>
                      <w:sz w:val="21"/>
                    </w:rPr>
                    <w:t>2)提供标准化数据服务能力，既支持标准数据库连接方式（如通用 JDBC/ODBC 等）进行只读访问，又支持开放接口（如 REST/等效 API）按需供数。</w:t>
                  </w:r>
                </w:p>
                <w:p>
                  <w:pPr>
                    <w:pStyle w:val="null3"/>
                  </w:pPr>
                  <w:r>
                    <w:rPr>
                      <w:rFonts w:ascii="仿宋_GB2312" w:hAnsi="仿宋_GB2312" w:cs="仿宋_GB2312" w:eastAsia="仿宋_GB2312"/>
                      <w:sz w:val="21"/>
                    </w:rPr>
                    <w:t>3)权限与审计：对外服务需具备访问控制、调用鉴权与审计留痕。</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4"/>
                <w:b/>
              </w:rPr>
              <w:t>项目进度要求</w:t>
            </w:r>
            <w:r>
              <w:rPr>
                <w:rFonts w:ascii="仿宋_GB2312" w:hAnsi="仿宋_GB2312" w:cs="仿宋_GB2312" w:eastAsia="仿宋_GB2312"/>
                <w:sz w:val="24"/>
                <w:b/>
              </w:rPr>
              <w:t>：</w:t>
            </w:r>
          </w:p>
          <w:p>
            <w:pPr>
              <w:pStyle w:val="null3"/>
            </w:pPr>
            <w:r>
              <w:rPr>
                <w:rFonts w:ascii="仿宋_GB2312" w:hAnsi="仿宋_GB2312" w:cs="仿宋_GB2312" w:eastAsia="仿宋_GB2312"/>
                <w:sz w:val="21"/>
              </w:rPr>
              <w:t>供应商应提交经采购方确认的详细项目开发计划，该计划须至少包含以下关键里程碑，并制定针对高校寒暑假等特殊时段的专项工作安排：</w:t>
            </w:r>
          </w:p>
          <w:p>
            <w:pPr>
              <w:pStyle w:val="null3"/>
            </w:pPr>
            <w:r>
              <w:rPr>
                <w:rFonts w:ascii="仿宋_GB2312" w:hAnsi="仿宋_GB2312" w:cs="仿宋_GB2312" w:eastAsia="仿宋_GB2312"/>
                <w:sz w:val="21"/>
              </w:rPr>
              <w:t>（1）里程碑一（学科数据梳理与基础环境部署）：合同生效后60日内，完成学科数据的梳理工作，形成学科数据清单及数据结构说明文档；完成系统基础环境搭建及部</w:t>
            </w:r>
            <w:r>
              <w:rPr>
                <w:rFonts w:ascii="仿宋_GB2312" w:hAnsi="仿宋_GB2312" w:cs="仿宋_GB2312" w:eastAsia="仿宋_GB2312"/>
                <w:sz w:val="21"/>
              </w:rPr>
              <w:t>署准备工作，包括服务器环境配置、数据库安装、系统框架部署等。提交阶段性成果文件，经采购人确认后视为里程碑一完成。</w:t>
            </w:r>
          </w:p>
          <w:p>
            <w:pPr>
              <w:pStyle w:val="null3"/>
            </w:pPr>
            <w:r>
              <w:rPr>
                <w:rFonts w:ascii="仿宋_GB2312" w:hAnsi="仿宋_GB2312" w:cs="仿宋_GB2312" w:eastAsia="仿宋_GB2312"/>
                <w:sz w:val="21"/>
              </w:rPr>
              <w:t>（2）里程碑二（核心交付）：合同生效后150日内，完成系统核心功能模块的开发与内部测试，包括数据整合处理、指标体系构建、驾驶舱展示框架搭建等内容；系统应达到可演示状态，具备基本业务逻辑与数据展示能力；同步完成面向全校信息化建设的统一编码方案设计，结合国家/教育行业标准及学校未来发展规划，形成关键业务实体编码规则，确保编码唯一性、科学性和可扩展性，并提交《学校数据编码标准规范》及阶段性成果报告，经采购人确认后视为里程碑二完成。</w:t>
            </w:r>
          </w:p>
          <w:p>
            <w:pPr>
              <w:pStyle w:val="null3"/>
            </w:pPr>
            <w:r>
              <w:rPr>
                <w:rFonts w:ascii="仿宋_GB2312" w:hAnsi="仿宋_GB2312" w:cs="仿宋_GB2312" w:eastAsia="仿宋_GB2312"/>
                <w:sz w:val="21"/>
              </w:rPr>
              <w:t>（3）里程碑三（试运行启动）：完成系统在生产环境中的部署与调试，具备正式运行条件；完成数据对接及系统稳定性测试；正式启动为期 1 个月的试运行，并形成试运行方案；经采购人确认后视为里程碑三完成。</w:t>
            </w:r>
          </w:p>
          <w:p>
            <w:pPr>
              <w:pStyle w:val="null3"/>
            </w:pPr>
            <w:r>
              <w:rPr>
                <w:rFonts w:ascii="仿宋_GB2312" w:hAnsi="仿宋_GB2312" w:cs="仿宋_GB2312" w:eastAsia="仿宋_GB2312"/>
                <w:sz w:val="21"/>
              </w:rPr>
              <w:t>（4）里程碑四（最终验收）：试运行期满且发现的问题均已整改完成后，提交最终验收申请；通过最终验收后，视为项目全部完成。</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b/>
              </w:rPr>
              <w:t>关于实施的要求：</w:t>
            </w:r>
          </w:p>
          <w:p>
            <w:pPr>
              <w:pStyle w:val="null3"/>
            </w:pPr>
            <w:r>
              <w:rPr>
                <w:rFonts w:ascii="仿宋_GB2312" w:hAnsi="仿宋_GB2312" w:cs="仿宋_GB2312" w:eastAsia="仿宋_GB2312"/>
                <w:sz w:val="21"/>
              </w:rPr>
              <w:t>中标投标人应按照软件工程规范，在项目开发至交付的全过程中提供以下服务，并提交详细的实施方案与计划。</w:t>
            </w:r>
          </w:p>
          <w:p>
            <w:pPr>
              <w:pStyle w:val="null3"/>
            </w:pPr>
            <w:r>
              <w:rPr>
                <w:rFonts w:ascii="仿宋_GB2312" w:hAnsi="仿宋_GB2312" w:cs="仿宋_GB2312" w:eastAsia="仿宋_GB2312"/>
                <w:sz w:val="21"/>
              </w:rPr>
              <w:t>（1）现场服务：中标投标人须派遣项目经理及实施团队提供现场服务，并确保项目实施期间至少有1名核心人员常驻，负责与校方沟通协调、业务流程调研梳理与优化、系统实施、使用培训及技术支持。现场服务方案应明确人员配置、服务模式、工作内容、时间安排等信息。</w:t>
            </w:r>
          </w:p>
          <w:p>
            <w:pPr>
              <w:pStyle w:val="null3"/>
            </w:pPr>
            <w:r>
              <w:rPr>
                <w:rFonts w:ascii="仿宋_GB2312" w:hAnsi="仿宋_GB2312" w:cs="仿宋_GB2312" w:eastAsia="仿宋_GB2312"/>
                <w:sz w:val="21"/>
              </w:rPr>
              <w:t>（2）指标确认：为确保所有指标符合业务实际且均可落地，中标供应商应在项目交付阶段与采购方成立联合工作组，基于已集成的真实数据环境，对招标参数中列明的各项指标逐一核对与验证。双方应就指标的数据可得性、计算口径与实现路径进行评估与优化；对验收前确实无法获取所需数据的指标，确认其“暂缓”状态并记录原因。最终，双方形成经书面确认的《最终指标规格说明书》，该说明书至少应包含：</w:t>
            </w:r>
          </w:p>
          <w:p>
            <w:pPr>
              <w:pStyle w:val="null3"/>
              <w:ind w:left="120"/>
            </w:pPr>
            <w:r>
              <w:rPr>
                <w:rFonts w:ascii="仿宋_GB2312" w:hAnsi="仿宋_GB2312" w:cs="仿宋_GB2312" w:eastAsia="仿宋_GB2312"/>
                <w:sz w:val="21"/>
              </w:rPr>
              <w:t>1.各指标的定义与计算口径（含统计范围、维度口径、更新频率）；</w:t>
            </w:r>
          </w:p>
          <w:p>
            <w:pPr>
              <w:pStyle w:val="null3"/>
              <w:ind w:left="120"/>
            </w:pPr>
            <w:r>
              <w:rPr>
                <w:rFonts w:ascii="仿宋_GB2312" w:hAnsi="仿宋_GB2312" w:cs="仿宋_GB2312" w:eastAsia="仿宋_GB2312"/>
                <w:sz w:val="21"/>
              </w:rPr>
              <w:t>2.各指标的数据来源确认与采集方案说明（含系统对接/上传/填报等来源方式）；</w:t>
            </w:r>
          </w:p>
          <w:p>
            <w:pPr>
              <w:pStyle w:val="null3"/>
              <w:ind w:left="120"/>
            </w:pPr>
            <w:r>
              <w:rPr>
                <w:rFonts w:ascii="仿宋_GB2312" w:hAnsi="仿宋_GB2312" w:cs="仿宋_GB2312" w:eastAsia="仿宋_GB2312"/>
                <w:sz w:val="21"/>
              </w:rPr>
              <w:t>3.指标结果可追溯说明（指标值与原始数据/明细的对应关系）；</w:t>
            </w:r>
          </w:p>
          <w:p>
            <w:pPr>
              <w:pStyle w:val="null3"/>
              <w:ind w:left="120"/>
            </w:pPr>
            <w:r>
              <w:rPr>
                <w:rFonts w:ascii="仿宋_GB2312" w:hAnsi="仿宋_GB2312" w:cs="仿宋_GB2312" w:eastAsia="仿宋_GB2312"/>
                <w:sz w:val="21"/>
              </w:rPr>
              <w:t>4.暂缓指标清单、暂缓原因及处理结论。</w:t>
            </w:r>
          </w:p>
          <w:p>
            <w:pPr>
              <w:pStyle w:val="null3"/>
            </w:pPr>
            <w:r>
              <w:rPr>
                <w:rFonts w:ascii="仿宋_GB2312" w:hAnsi="仿宋_GB2312" w:cs="仿宋_GB2312" w:eastAsia="仿宋_GB2312"/>
                <w:sz w:val="21"/>
              </w:rPr>
              <w:t>（3）用户培训：中标投标人应结合学校实际制定系统化培训计划，为系统管理员、操作员等不同角色提供集中培训与专项指导，形式包括课堂讲解、实操演练、专题交流、现场指导及录制操作视频等。培训方案应涵盖目标、内容、方法、对象、时间、教材工具、考核方式等要素，确保相关人员能独立使用与维护系统。</w:t>
            </w:r>
          </w:p>
          <w:p>
            <w:pPr>
              <w:pStyle w:val="null3"/>
              <w:jc w:val="both"/>
            </w:pPr>
            <w:r>
              <w:rPr>
                <w:rFonts w:ascii="仿宋_GB2312" w:hAnsi="仿宋_GB2312" w:cs="仿宋_GB2312" w:eastAsia="仿宋_GB2312"/>
                <w:sz w:val="21"/>
              </w:rPr>
              <w:t>（4）软件安装与配置：中标投标人应指导学校完成运行环境搭建、软件安装配置及基础数据整理导入。安装与配置方案需包括环境要求、安装步骤、参数设置、数据来源与导入方法等说明。</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b/>
              </w:rPr>
              <w:t>特别说明：</w:t>
            </w:r>
          </w:p>
          <w:p>
            <w:pPr>
              <w:pStyle w:val="null3"/>
            </w:pPr>
            <w:r>
              <w:rPr>
                <w:rFonts w:ascii="仿宋_GB2312" w:hAnsi="仿宋_GB2312" w:cs="仿宋_GB2312" w:eastAsia="仿宋_GB2312"/>
                <w:sz w:val="21"/>
              </w:rPr>
              <w:t>本项目使用电子化交易系统，功能演示内容需投标人派遣专业技术人员（自行携带笔记本电脑）自行搭建演示环境，于开标现场进行功能演示。若开标未到场演示或使用PPT、截图、录屏等其他演示方式者视为该项未响应。</w:t>
            </w:r>
          </w:p>
          <w:p>
            <w:pPr>
              <w:pStyle w:val="null3"/>
            </w:pPr>
            <w:r>
              <w:rPr>
                <w:rFonts w:ascii="仿宋_GB2312" w:hAnsi="仿宋_GB2312" w:cs="仿宋_GB2312" w:eastAsia="仿宋_GB2312"/>
                <w:sz w:val="21"/>
              </w:rPr>
              <w:t>投标人可在开标截止时间前48小时内联系代理公司单独进行现场演示环境测试（如需）。因投标人自身原因导致演示环节无法进行，后果自负。</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自合同签订之日起300个日历日内完成全部工作。（包括系统部署、为期1个月的试运行）</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自合同签订后 ，中标供应商完成学科数据梳理与系统部署后，提供学科数据清单及阶段性成果材料，经采购人审核确认并签署阶段性成果确认文件后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项目通过终验后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应根据服务期限要求制定详细的项目开发计划，计划须至少包含：1）里程碑一（学科数据梳理与基础环境部署）：合同生效后60日内完成；2）里程碑二（核心交付）：合同生效后150日内完成；3）里程碑三（试运行启动）：试运行期一个月；4）里程碑四（最终验收）。（2）验收条件：投标人应在项目开发过程中和交付使用后，按照软件工程的相关要求，将各个阶段产生的全面、规范的成果和文档资料交付给采购方，并提供明确的交付清单。1)交付的成果和文档资料应至少包括以下部分：①可运行的系统②项目文档：包括但不限于以下内容：开发环境配置说明、软件工具清单、《需求分析说明书》（含变更说明）、《系统设计说明书》（含概要设计、详细设计、数据库设计说明书）、《最终指标规格说明书》、《用户手册》、系统维护说明、《测试计划》及《测试报告》（含测试用例、测试结果）、系统培训资料、系统接口技术说明、项目管理文档（如计划、报告、会议纪要等）、第三方测试报告、数据安全保密协议及其他合同要求的文档。2)初验的基本条件：①系统已按照设计要求、双方确认的《最终指标规格说明书》中所明确的、具备数据实现条件的指标内容和合同规定完成开发、测试、集成、安装和调试工作，功能完备，性能稳定，使用方便，满足用户需求。②采购方已熟悉系统的使用方式，并对系统的操作界面和功能表达满意度，系统能够提高用户的工作效率和质量。③系统已部署实施并上线运行，运行环境符合技术规范，运行效果符合预期目标。④系统在上线试运行期间没有出现严重的故障或影响业务部门正常工作的重大问题。3)终验的基本条件：①投标人已交付所有系统和项目文档，包括源代码、数据库、配置文件、设计文档、测试文档、用户手册、维护手册等。②系统在试运行期间保持正常运行状态，无影响业务部门的故障或问题。③投标人已解决所有在安装、调试、测试和试运行中发现的问题，并对系统进行了必要的优化和改进。</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标准：供应商提供产品及相关快递服务的包装要求，按照《商品包装政府采购需求标准（试行）》、《快递包装政府采购需求标准（试行）》执行，确保防潮、防震、防锈蚀；（2）运输方式：供应商自主选择，须购买全程运输保险，保证按期交付。不得断货，因断货造成的损失由供应商负责赔偿；（3）运输责任：运输由供应商负责，运杂费已包含在合同总价内。包括从货物供应地点运送至交付地点所含的运输费、装卸费、仓储费、保险费等；（4）存放与保管：货物到达采购人指定地点后，供应商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及产品质保期（三包期）：自验收合格之日起3年。（1）质量标准：投标人所提供的产品质量应当符合国家行业规定的标准，并无任何瑕疵；投标人应按项目建设内容清单要求提供产品，除人为因素损坏外，对该产品实行三包（即包修、包退、包换），及时提供所有设备正常使用所需的备品备件，且投标人维修所更换的配件和备品备件均为原设备厂家生产；（2）不符约定处理：如交付品种、型号、规格不符合同约定的，由投标人负责退换，由此产生的一切费用及给采购人造成的相关损失由投标人全部承担并赔偿相应损失；（3）不能修理或调换：如不能修理或者不能调换的，按不能交付处理，因此给采购人造成的所有经济损失投标人应予全额赔偿；（4）质保服务：本项目要求投标人提供不少于3年的售后服务，售后服务期自项目验收合格之日起计算，具体服务内容和质量要求如下：1）技术支持：投标人应保证在售后服务期内提供 7×24 小时技术支持服务，应提供本单位的热线电话、E-mail、传真、网站等途径，随时接受系统使用人员提出的各种技术问题，并在30分钟内响应，2小时内提供解决方案。投标人应在投标文件中明确提供技术支持服务的联系方式和响应流程。2）故障响应：投标人应保证在售后服务期内，各类故障应在30分钟内响应，2小时内解决问题。影响系统正常使用的bug在使用方提出后8小时内修正；系统安全漏洞的修复，要在使用方提出后24小时内解决。若投标人未能按时限解决问题，采购人有权自行处理，所发生费用由投标人承担。投标人应在投标文件中明确提供故障响应服务的质量保证和违约责任。3）软件升级：投标人应保证提供软件版本生命周期内的终身免费升级，在售后服务期内，提供持续的大版本免费更新服务。投标人应在投标文件中明确提供软件升级服务的内容和频率。4）数据服务：对于在交付阶段经《最终指标规格说明书》确认，因采购方数据供给条件不成熟而暂缓的指标，供应商必须在系统架构中完成所有必要的底层数据模型、计算逻辑与接口的技术预留。在本项目约定的售后服务期内，一旦相关数据条件具备并由采购方书面提出实现要求后，中标方需配合完成该指标的全部开发、部署与上线工作。5）续保服务：售后服务期到期后，投标人承诺以最低价提供续保服务，续保期内提供与免费售后服务期内相同的服务内容与服务质量。投标人应在报价中体现续保服务的价格，且不得高于项目总额的10%。投标人应在投标文件中明确提供续保服务和维护费用的方式、计算方法和支付条件；（5）瑕疵责任：投标人提供服务及相关软件应无任何瑕疵，符合国际、国内相关标准。如在使用过程中存在隐蔽瑕疵造成事故而引发的纠纷，由投标人全额负责赔偿，并为采购人修复瑕疵或更新换代，期间产生的费用均由投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供应商未按合同约定的交货日期交货的，每逾期一日，向采购人支付逾期交付货物价款的1%的违约金，但不超过合同总金额的10%。中标供应商支付逾期交货违约金并不免除其交货的责任。（2）如中标供应商在政府采购合同规定的交货日期后10天内仍未能交货，则视为中标供应商不能交货，采购人有权解除政府采购合同，中标供应商除退还已收取的货款外，还应向采购人偿付政府采购合同总金额10%的违约金。（3）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校情决策分析主题展示所含“学科建设分析”、“人事绩效分析”、“横向项目分析”、“纵向项目分析”、“资产分析”等模块内指标体系构建与动态更新中所列的业务指标，旨在明确建设目标。中标方应在交付阶段会同采购方，对指标所需的线上及线下数据源的可得性与采集可行性进行联合评估。双方应基于实际可获取的数据基础，共同确认指标的定义、计算逻辑与实现方案，并形成《最终指标规格说明书》作为验收依据。确因数据条件暂不成熟（包括线下数据无法通过业务化流程有效采集）而无法在验收前实现的指标呈现，供应商须在系统架构中完成所有必要的底层技术预留，并承诺在项目服务维护期内，待数据条件具备后按采购方要求免费实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财务报告（成立时间至开标时间不足一年的可提供成立后任意时段的资产负债表）或开标前六个月内其基本账户银行出具的资信证明（附开户许可证或基本存款账户信息）或政府采购信用担保机构出具的担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提供法定代表人/负责人授权书（附法定代表人/负责人、被授权人身份证复印件及被授权人近三个月社保缴纳证明或劳动合同。）（法定代表人/负责人直接参加投标，须提供法定代表人/负责人身份证明）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商务应答</w:t>
            </w:r>
          </w:p>
        </w:tc>
        <w:tc>
          <w:tcPr>
            <w:tcW w:type="dxa" w:w="3322"/>
          </w:tcPr>
          <w:p>
            <w:pPr>
              <w:pStyle w:val="null3"/>
            </w:pPr>
            <w:r>
              <w:rPr>
                <w:rFonts w:ascii="仿宋_GB2312" w:hAnsi="仿宋_GB2312" w:cs="仿宋_GB2312" w:eastAsia="仿宋_GB2312"/>
              </w:rPr>
              <w:t>投标文件中对商务条款未出现负偏离</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符合招标文件签字盖章的要求</w:t>
            </w:r>
          </w:p>
        </w:tc>
        <w:tc>
          <w:tcPr>
            <w:tcW w:type="dxa" w:w="1661"/>
          </w:tcPr>
          <w:p>
            <w:pPr>
              <w:pStyle w:val="null3"/>
            </w:pPr>
            <w:r>
              <w:rPr>
                <w:rFonts w:ascii="仿宋_GB2312" w:hAnsi="仿宋_GB2312" w:cs="仿宋_GB2312" w:eastAsia="仿宋_GB2312"/>
              </w:rPr>
              <w:t>开标一览表 产品技术参数表 供应商认为有必要补充说明的事项 投标函 中小企业声明函 残疾人福利性单位声明函 标的清单 投标文件封面 供应商承诺书 商务条款偏离表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投标响应文件有效期</w:t>
            </w:r>
          </w:p>
        </w:tc>
        <w:tc>
          <w:tcPr>
            <w:tcW w:type="dxa" w:w="3322"/>
          </w:tcPr>
          <w:p>
            <w:pPr>
              <w:pStyle w:val="null3"/>
            </w:pPr>
            <w:r>
              <w:rPr>
                <w:rFonts w:ascii="仿宋_GB2312" w:hAnsi="仿宋_GB2312" w:cs="仿宋_GB2312" w:eastAsia="仿宋_GB2312"/>
              </w:rPr>
              <w:t>投标响应文件的有效期达到招标文件要求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保证金缴纳凭证</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1.投标产品需完全响应招标文件所有技术指标要求，无任何负偏离，并提供完整、对应的截图证明及方案说明，得16分。 （1）重要技术参数（标“▲”项） 每项必须提供真实系统运行截图证明。若任一项未提供证明、功能描述缺失、响应不充分或存在负偏离，每项扣2分，扣完为止。 （2）一般技术参数 任一项存在负偏离、方案描述缺失、响应不充分或无法证明其符合性的，每项扣1分，扣完为止。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产品成熟度</w:t>
            </w:r>
          </w:p>
        </w:tc>
        <w:tc>
          <w:tcPr>
            <w:tcW w:type="dxa" w:w="2492"/>
          </w:tcPr>
          <w:p>
            <w:pPr>
              <w:pStyle w:val="null3"/>
            </w:pPr>
            <w:r>
              <w:rPr>
                <w:rFonts w:ascii="仿宋_GB2312" w:hAnsi="仿宋_GB2312" w:cs="仿宋_GB2312" w:eastAsia="仿宋_GB2312"/>
              </w:rPr>
              <w:t>1.投标人提供的系统成熟稳定，拥有校情分析、数据决策、数据分析等相关软件著作权。每提供1个得0.5分，本项最高得2分。不提供则不得分。 2.投标人具有包含“学科”、“人事”、“科研”、“资产”关键字的软件著作权。每提供1个得0.5分，本项最高得2分，不提供则不得分”。 评审依据：需提供著作权证书复印件或扫描件，并加盖投标人公章。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 基于对学校信息化现状与需求的深入理解，从建设视角出发，依据国家/教育部相关指导文件，提出本项目的整体技术路线、架构与方案。 二、赋分标准： 1.方案内容全面，技术路线先进、可靠，安全设计周密，并能针对性地分析和解决学校在项目实施中可能遇到的实际困难，得5分； 2.方案框架完整，技术路线合理，具备基本的安全性和可靠性，但针对学校具体需求的解决方案分析不足或缺乏深度，得3分； 3.方案内容不全面，技术路线不清晰，或存在明显技术缺陷与逻辑漏洞，得1分； 4.未提供方案不得分。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提供详细的项目实施与系统集成案，方案应至少涵盖总体架构设计、工作任务分解、进度计划、资源投入、风险控制策略以及具体的系统集成方法。 二、赋分标准： 1.方案内容完整、设计周密、流程清晰、措施得当，系统集成方法具有高度的可行性和针对性。在此基础上，能提供过往成功的系统集成案例证明材料，进一步佐证实施能力，得5分； 2.方案框架清晰，关键要素基本齐全，系统集成方法合理可行，能够支撑项目落地，但方案的深度或细节有待加强，得3分； 3.方案内容空洞，逻辑混乱，或缺少关键要素，无法证明具备顺利实施项目的能力，得1分； 4.未提供方案不得分。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提供覆盖项目全周期（包括准备、研发、运行阶段）的培训方案。包括不限于培训计划、培训方式及内容、培训保障措施等内容。 二、赋分标准： 1.方案内容全面，明确涵盖针对不同角色的培训目标、定制化课程内容、详细的时间计划、考核方式以及讲师与教材资源配置，并对运维、二次开发等高级培训有具体承诺和安排，得5分； 2.方案框架清晰，包含了核心培训要素，但在针对性、深度或细节上存在不足，得3分； 3.方案内容简略，缺乏可执行的细节，无法满足基本的培训需求，得1分； 4.未提供方案不得分。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针对本项目提供完整售后服务方案或承诺。内容包括但不限于：安装调试、质保期限、服务响应和故障排除、日常维护及保养措施、应急措施、售后服务时间等。 二、赋分标准： 1.服务方案具体、承诺明确，应清晰包含：具体的质保期限、明确的服务响应与故障解决时限（如7x24小时售后，30分钟内响应，2小时内解决问题）、定期的日常维护计划、针对突发事件的应急处理流程、以及专职技术服务团队配置说明，得5分； 2.服务方案包含了主要服务条款和承诺，但部分内容（如响应时限、应急流程）不够具体或标准一般，得3分； 3.方案仅为原则性声明，缺乏具体的承诺、流程和人员保障，得1分； 4.未提供方案不得分。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团队能力要求</w:t>
            </w:r>
          </w:p>
        </w:tc>
        <w:tc>
          <w:tcPr>
            <w:tcW w:type="dxa" w:w="2492"/>
          </w:tcPr>
          <w:p>
            <w:pPr>
              <w:pStyle w:val="null3"/>
            </w:pPr>
            <w:r>
              <w:rPr>
                <w:rFonts w:ascii="仿宋_GB2312" w:hAnsi="仿宋_GB2312" w:cs="仿宋_GB2312" w:eastAsia="仿宋_GB2312"/>
              </w:rPr>
              <w:t>1.项目经理资质（2分）： 投标人拟派项目经理具备①高级信息系统项目管理师证书②系统规划与管理师（高级）证书项目管理专业人员能力等级证书CSPM三级及以上每具备一项有效证书得1分，最高得2分。 评审依据：须提供证书复印件及近半年内任意一月的归属于供应商的社保缴纳证明，并加盖投标人公章。 2.技术团队资质（3分） 投标人拟派的技术团队（不含项目经理）须配备至少4名专职技术人员，相关人员需具备承担本项目所需的技术能力，并持有与其岗位职责相匹配的有效职业资格/能力证书。团队成员不得在本项目中兼任多个专业领域岗位。 团队人员所持证书须覆盖以下三个独立专业领域，且每个领域由不同人员持证并专职承担：①系统分析能力（系统分析师）②软件开发能力（软件设计师或系统架构设计师）③系统集成与项目管理能力（系统集成项目管理工程师或信息系统项目管理师）每覆盖一个专业领域得1分，最高得3分，同一人员即使同时持有多个领域证书，仅按其承担的一个领域计分，不重复计分。评审依据：须提供相关人员证书复印件、近半年内任意一月的归属于供应商的社保缴纳证明及《技术团队人员专职投入与兼任承诺书》，并加盖投标人公章。人员数量不足4人或未提供承诺书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1.质量与隐私安全保障能力（2分）： 投标人同时具备以下有效认证，得 2 分，否则不得分。 ①ISO 9001 质量管理体系认证； ②ISO/IEC 27701 隐私信息管理体系认证。 2.IT服务与研发过程管理能力（4分）：具备下列任意1项，得1.5分；同时具备任意2项，得3分；同时具备3项，得4分。 ①ITSS 信息技术服务标准（二级及以上）； ②ISO/IEC 20000-1 信息技术服务管理体系认证； ③CCRC 信息安全服务资质（安全运维方向，三级及以上）。 3.系统与数据建设能力（4分）： 具备下列任意1项，得1.5分；同时具备任意2项，得3分；同时具备3项，得4分。 ①信息系统建设和服务能力体系证书（CS3 级及以上）； ②数据管理能力成熟度证书（DCMM）或其他同等效力的国家级数据管理或数据安全认证（DSMC）； ③CCRC 信息安全服务资质（软件安全开发方向，三级及以上）。 评审依据：须提供在有效期内的证书 / 资质的加盖公章复印件，或提供可在线核验的等效证明。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投标人自2023年1月1日起至本项目招标公告发布之日止（以合同签订时间为准）的同类业绩（已实施并通过验收或阶段性验收的数据分析与可视化平台类项目），每提供1个得1分，最多5分，不提供不得分。 评审依据：1.须提供合同关键页（合同首页、金额页、签字盖章页、能体现技术服务内容页）及验收证明材料（包括最终验收或阶段性验收证明）复印件并加盖公章；合同关键页不全不予计分； 2.业绩内容须能清晰体现“数据分析、可视化展示”等核心功能； 3.同一项目以最终验收结论为准计1 次分，不得因分包、联合体或拆分合同重复计分；电子验收凭证或监管/平台可查询链接可作为等效可核验证明。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vMerge/>
          </w:tcPr>
          <w:p/>
        </w:tc>
        <w:tc>
          <w:tcPr>
            <w:tcW w:type="dxa" w:w="1661"/>
          </w:tcPr>
          <w:p>
            <w:pPr>
              <w:pStyle w:val="null3"/>
            </w:pPr>
            <w:r>
              <w:rPr>
                <w:rFonts w:ascii="仿宋_GB2312" w:hAnsi="仿宋_GB2312" w:cs="仿宋_GB2312" w:eastAsia="仿宋_GB2312"/>
              </w:rPr>
              <w:t>系统演示</w:t>
            </w:r>
          </w:p>
        </w:tc>
        <w:tc>
          <w:tcPr>
            <w:tcW w:type="dxa" w:w="2492"/>
          </w:tcPr>
          <w:p>
            <w:pPr>
              <w:pStyle w:val="null3"/>
            </w:pPr>
            <w:r>
              <w:rPr>
                <w:rFonts w:ascii="仿宋_GB2312" w:hAnsi="仿宋_GB2312" w:cs="仿宋_GB2312" w:eastAsia="仿宋_GB2312"/>
              </w:rPr>
              <w:t>一、演示内容： 1.多维分析展示：演示基于“学科、人事、科研、资产”等多个维度的数据分析与展示功能，需成功操作筛选、钻取、联动及时间序列对比。 2.学科成果关联：演示学科分析功能，系统需能将成果数据（如论文、项目）与教师、学科、学院进行准确关联，并验证每项成果均具备唯一的牵头负责人（教师）、唯一的归属学科和唯一的归属学院； 3.文档一键导出：演示学科管理文件的一键下载功能，须实现：将长文本、列表/自定义列表、附件、特殊/自定义表单，分别按Word、Excel、原附件格式一键导出下载； 4.指标开发： ①单指标：展示指标的明确定义，包括数据来源、分析维度、统计方式（需至少展示聚合、占比、排名、取值、环比等）与过滤条件。 ②多指标：支持基于多指标进行四则运算及常用数据函数运算，并能够清晰输出可读的计算逻辑。 5.数据共享能力：演示按应用或业务域对共享数据进行逻辑隔离与分域管理，并展示对共享域的新增、编辑、停用、删除等操作功能。演示对外提供标准化的数据服务，须同时支持两种方式：标准数据库只读连接（如 JDBC/ODBC）和开放API接口（如 REST API）。 二、演示要求 需进行实机操作演示，展示关键操作路径与最终结果画面。如使用样例数据，须说明其生成逻辑及字段含义，确保与真实业务场景一致。严禁使用预制视频或图片替代。每项演示内容按要求完整呈现得2分，演示内容包含全部项目但完整性一般得1分，未演示不得分，共10分。 评审依据： 1.需投标人派遣专业技术人员自行携带笔记本电脑于投标截止时间前抵达开标现场 2.未演示、演示失败、演示环境不符或演示内容不符合要求的，该项不得分。 3.演示时间需控制在15分钟之内，15分钟时间到需停止演示。</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系统演示</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有效的投标报价中的最低价为评标基准价，其价格分为满分。其他投标人的价格分统一按照下列公式计算： 投标报价得分＝（评标基准价/评审价）×价格权重×100。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详见附件：供应商认为有必要补充说明的事项</w:t>
      </w:r>
    </w:p>
    <w:p>
      <w:pPr>
        <w:pStyle w:val="null3"/>
        <w:ind w:firstLine="960"/>
      </w:pPr>
      <w:r>
        <w:rPr>
          <w:rFonts w:ascii="仿宋_GB2312" w:hAnsi="仿宋_GB2312" w:cs="仿宋_GB2312" w:eastAsia="仿宋_GB2312"/>
        </w:rPr>
        <w:t>详见附件：系统演示</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详见附件：保证金缴纳凭证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