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C77EA">
      <w:pPr>
        <w:pStyle w:val="4"/>
        <w:rPr>
          <w:rFonts w:hint="default"/>
        </w:rPr>
      </w:pPr>
      <w:r>
        <w:rPr>
          <w:rFonts w:ascii="仿宋_GB2312" w:hAnsi="仿宋_GB2312" w:eastAsia="仿宋_GB2312" w:cs="仿宋_GB2312"/>
        </w:rPr>
        <w:t>详见附件：合同范本.docx</w:t>
      </w:r>
    </w:p>
    <w:p w14:paraId="35DE0417">
      <w:pPr>
        <w:spacing w:before="936" w:after="4416"/>
        <w:jc w:val="center"/>
        <w:rPr>
          <w:rFonts w:ascii="Calibri" w:hAnsi="Calibri" w:eastAsia="Calibri" w:cs="Calibri"/>
          <w:sz w:val="52"/>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宋体" w:hAnsi="宋体" w:cs="宋体"/>
          <w:b/>
          <w:sz w:val="52"/>
        </w:rPr>
        <w:t>西</w:t>
      </w:r>
      <w:r>
        <w:rPr>
          <w:rFonts w:ascii="Calibri" w:hAnsi="Calibri" w:eastAsia="Calibri" w:cs="Calibri"/>
          <w:b/>
          <w:sz w:val="52"/>
        </w:rPr>
        <w:t xml:space="preserve"> </w:t>
      </w:r>
      <w:r>
        <w:rPr>
          <w:rFonts w:ascii="宋体" w:hAnsi="宋体" w:cs="宋体"/>
          <w:b/>
          <w:sz w:val="52"/>
        </w:rPr>
        <w:t>安</w:t>
      </w:r>
      <w:r>
        <w:rPr>
          <w:rFonts w:ascii="Calibri" w:hAnsi="Calibri" w:eastAsia="Calibri" w:cs="Calibri"/>
          <w:b/>
          <w:sz w:val="52"/>
        </w:rPr>
        <w:t xml:space="preserve"> </w:t>
      </w:r>
      <w:r>
        <w:rPr>
          <w:rFonts w:ascii="宋体" w:hAnsi="宋体" w:cs="宋体"/>
          <w:b/>
          <w:sz w:val="52"/>
        </w:rPr>
        <w:t>理</w:t>
      </w:r>
      <w:r>
        <w:rPr>
          <w:rFonts w:ascii="Calibri" w:hAnsi="Calibri" w:eastAsia="Calibri" w:cs="Calibri"/>
          <w:b/>
          <w:sz w:val="52"/>
        </w:rPr>
        <w:t xml:space="preserve"> </w:t>
      </w:r>
      <w:r>
        <w:rPr>
          <w:rFonts w:ascii="宋体" w:hAnsi="宋体" w:cs="宋体"/>
          <w:b/>
          <w:sz w:val="52"/>
        </w:rPr>
        <w:t>工</w:t>
      </w:r>
      <w:r>
        <w:rPr>
          <w:rFonts w:ascii="Calibri" w:hAnsi="Calibri" w:eastAsia="Calibri" w:cs="Calibri"/>
          <w:b/>
          <w:sz w:val="52"/>
        </w:rPr>
        <w:t xml:space="preserve"> </w:t>
      </w:r>
      <w:r>
        <w:rPr>
          <w:rFonts w:ascii="宋体" w:hAnsi="宋体" w:cs="宋体"/>
          <w:b/>
          <w:sz w:val="52"/>
        </w:rPr>
        <w:t>大</w:t>
      </w:r>
      <w:r>
        <w:rPr>
          <w:rFonts w:ascii="Calibri" w:hAnsi="Calibri" w:eastAsia="Calibri" w:cs="Calibri"/>
          <w:b/>
          <w:sz w:val="52"/>
        </w:rPr>
        <w:t xml:space="preserve"> </w:t>
      </w:r>
      <w:r>
        <w:rPr>
          <w:rFonts w:ascii="宋体" w:hAnsi="宋体" w:cs="宋体"/>
          <w:b/>
          <w:sz w:val="52"/>
        </w:rPr>
        <w:t>学</w:t>
      </w:r>
      <w:r>
        <w:rPr>
          <w:rFonts w:ascii="Calibri" w:hAnsi="Calibri" w:eastAsia="Calibri" w:cs="Calibri"/>
          <w:b/>
          <w:sz w:val="52"/>
        </w:rPr>
        <w:t xml:space="preserve"> </w:t>
      </w:r>
      <w:r>
        <w:rPr>
          <w:rFonts w:ascii="宋体" w:hAnsi="宋体" w:cs="宋体"/>
          <w:b/>
          <w:sz w:val="52"/>
        </w:rPr>
        <w:t>采</w:t>
      </w:r>
      <w:r>
        <w:rPr>
          <w:rFonts w:ascii="Calibri" w:hAnsi="Calibri" w:eastAsia="Calibri" w:cs="Calibri"/>
          <w:b/>
          <w:sz w:val="52"/>
        </w:rPr>
        <w:t xml:space="preserve"> </w:t>
      </w:r>
      <w:r>
        <w:rPr>
          <w:rFonts w:ascii="宋体" w:hAnsi="宋体" w:cs="宋体"/>
          <w:b/>
          <w:sz w:val="52"/>
        </w:rPr>
        <w:t>购</w:t>
      </w:r>
      <w:r>
        <w:rPr>
          <w:rFonts w:ascii="Calibri" w:hAnsi="Calibri" w:eastAsia="Calibri" w:cs="Calibri"/>
          <w:b/>
          <w:sz w:val="52"/>
        </w:rPr>
        <w:t xml:space="preserve"> </w:t>
      </w:r>
      <w:r>
        <w:rPr>
          <w:rFonts w:ascii="宋体" w:hAnsi="宋体" w:cs="宋体"/>
          <w:b/>
          <w:sz w:val="52"/>
        </w:rPr>
        <w:t>合</w:t>
      </w:r>
      <w:r>
        <w:rPr>
          <w:rFonts w:ascii="Calibri" w:hAnsi="Calibri" w:eastAsia="Calibri" w:cs="Calibri"/>
          <w:b/>
          <w:sz w:val="52"/>
        </w:rPr>
        <w:t xml:space="preserve"> </w:t>
      </w:r>
      <w:r>
        <w:rPr>
          <w:rFonts w:ascii="宋体" w:hAnsi="宋体" w:cs="宋体"/>
          <w:b/>
          <w:sz w:val="52"/>
        </w:rPr>
        <w:t>同</w:t>
      </w:r>
    </w:p>
    <w:tbl>
      <w:tblPr>
        <w:tblStyle w:val="2"/>
        <w:tblW w:w="0" w:type="auto"/>
        <w:jc w:val="center"/>
        <w:tblLayout w:type="autofit"/>
        <w:tblCellMar>
          <w:top w:w="0" w:type="dxa"/>
          <w:left w:w="10" w:type="dxa"/>
          <w:bottom w:w="0" w:type="dxa"/>
          <w:right w:w="10" w:type="dxa"/>
        </w:tblCellMar>
      </w:tblPr>
      <w:tblGrid>
        <w:gridCol w:w="6204"/>
      </w:tblGrid>
      <w:tr w14:paraId="4C9D85FC">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77C9489A">
            <w:pPr>
              <w:rPr>
                <w:rFonts w:ascii="仿宋_GB2312" w:hAnsi="仿宋_GB2312" w:eastAsia="仿宋_GB2312" w:cs="仿宋_GB2312"/>
                <w:b/>
                <w:sz w:val="32"/>
              </w:rPr>
            </w:pPr>
            <w:r>
              <w:rPr>
                <w:rFonts w:ascii="宋体" w:hAnsi="宋体" w:cs="宋体"/>
                <w:b/>
                <w:sz w:val="32"/>
              </w:rPr>
              <w:t>合同名称：</w:t>
            </w:r>
          </w:p>
          <w:p w14:paraId="06431851">
            <w:r>
              <w:rPr>
                <w:rFonts w:ascii="宋体" w:hAnsi="宋体" w:cs="宋体"/>
                <w:b/>
                <w:sz w:val="32"/>
              </w:rPr>
              <w:t>合同编号：</w:t>
            </w:r>
            <w:r>
              <w:rPr>
                <w:rFonts w:ascii="仿宋_GB2312" w:hAnsi="仿宋_GB2312" w:eastAsia="仿宋_GB2312" w:cs="仿宋_GB2312"/>
                <w:b/>
                <w:sz w:val="32"/>
              </w:rPr>
              <w:t xml:space="preserve"> </w:t>
            </w:r>
          </w:p>
        </w:tc>
      </w:tr>
    </w:tbl>
    <w:p w14:paraId="2A1CE2CA">
      <w:pPr>
        <w:rPr>
          <w:rFonts w:ascii="仿宋_GB2312" w:hAnsi="仿宋_GB2312" w:eastAsia="仿宋_GB2312" w:cs="仿宋_GB2312"/>
          <w:b/>
          <w:sz w:val="24"/>
        </w:rPr>
      </w:pPr>
    </w:p>
    <w:tbl>
      <w:tblPr>
        <w:tblStyle w:val="2"/>
        <w:tblW w:w="0" w:type="auto"/>
        <w:jc w:val="center"/>
        <w:tblLayout w:type="autofit"/>
        <w:tblCellMar>
          <w:top w:w="0" w:type="dxa"/>
          <w:left w:w="10" w:type="dxa"/>
          <w:bottom w:w="0" w:type="dxa"/>
          <w:right w:w="10" w:type="dxa"/>
        </w:tblCellMar>
      </w:tblPr>
      <w:tblGrid>
        <w:gridCol w:w="4291"/>
        <w:gridCol w:w="4231"/>
      </w:tblGrid>
      <w:tr w14:paraId="26E5351C">
        <w:tblPrEx>
          <w:tblCellMar>
            <w:top w:w="0" w:type="dxa"/>
            <w:left w:w="10" w:type="dxa"/>
            <w:bottom w:w="0" w:type="dxa"/>
            <w:right w:w="10" w:type="dxa"/>
          </w:tblCellMar>
        </w:tblPrEx>
        <w:trPr>
          <w:trHeight w:val="310"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26A902A7">
            <w:pPr>
              <w:rPr>
                <w:rFonts w:ascii="宋体" w:hAnsi="宋体" w:cs="宋体"/>
              </w:rPr>
            </w:pPr>
            <w:r>
              <w:rPr>
                <w:rFonts w:ascii="宋体" w:hAnsi="宋体" w:cs="宋体"/>
                <w:sz w:val="24"/>
              </w:rPr>
              <w:t xml:space="preserve">需方：西安理工大学        </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6D0B2B1D">
            <w:pPr>
              <w:jc w:val="left"/>
              <w:rPr>
                <w:rFonts w:ascii="宋体" w:hAnsi="宋体" w:cs="宋体"/>
              </w:rPr>
            </w:pPr>
            <w:r>
              <w:rPr>
                <w:rFonts w:ascii="宋体" w:hAnsi="宋体" w:cs="宋体"/>
                <w:sz w:val="24"/>
              </w:rPr>
              <w:t>供方：</w:t>
            </w:r>
          </w:p>
        </w:tc>
      </w:tr>
      <w:tr w14:paraId="617BB264">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12BBDE77">
            <w:pPr>
              <w:rPr>
                <w:rFonts w:ascii="宋体" w:hAnsi="宋体" w:cs="宋体"/>
              </w:rPr>
            </w:pPr>
            <w:r>
              <w:rPr>
                <w:rFonts w:ascii="宋体" w:hAnsi="宋体" w:cs="宋体"/>
                <w:sz w:val="24"/>
              </w:rPr>
              <w:t>信用代码：1261000043523042XN</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23CD29B6">
            <w:pPr>
              <w:jc w:val="left"/>
              <w:rPr>
                <w:rFonts w:ascii="宋体" w:hAnsi="宋体" w:cs="宋体"/>
              </w:rPr>
            </w:pPr>
            <w:r>
              <w:rPr>
                <w:rFonts w:ascii="宋体" w:hAnsi="宋体" w:cs="宋体"/>
                <w:sz w:val="24"/>
              </w:rPr>
              <w:t>信用代码：</w:t>
            </w:r>
          </w:p>
        </w:tc>
      </w:tr>
      <w:tr w14:paraId="400F7224">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5D34FD1E">
            <w:pPr>
              <w:rPr>
                <w:rFonts w:ascii="宋体" w:hAnsi="宋体" w:cs="宋体"/>
              </w:rPr>
            </w:pPr>
            <w:r>
              <w:rPr>
                <w:rFonts w:ascii="宋体" w:hAnsi="宋体" w:cs="宋体"/>
                <w:sz w:val="24"/>
              </w:rPr>
              <w:t>地址：西安市金花南路5号</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459606EB">
            <w:pPr>
              <w:jc w:val="left"/>
              <w:rPr>
                <w:rFonts w:ascii="宋体" w:hAnsi="宋体" w:cs="宋体"/>
                <w:i/>
                <w:sz w:val="24"/>
              </w:rPr>
            </w:pPr>
            <w:r>
              <w:rPr>
                <w:rFonts w:ascii="宋体" w:hAnsi="宋体" w:cs="宋体"/>
                <w:sz w:val="24"/>
              </w:rPr>
              <w:t>地址：</w:t>
            </w:r>
          </w:p>
          <w:p w14:paraId="0442A1F4">
            <w:pPr>
              <w:jc w:val="right"/>
              <w:rPr>
                <w:rFonts w:ascii="宋体" w:hAnsi="宋体" w:cs="宋体"/>
              </w:rPr>
            </w:pPr>
          </w:p>
        </w:tc>
      </w:tr>
      <w:tr w14:paraId="5AF8C84E">
        <w:tblPrEx>
          <w:tblCellMar>
            <w:top w:w="0" w:type="dxa"/>
            <w:left w:w="10" w:type="dxa"/>
            <w:bottom w:w="0" w:type="dxa"/>
            <w:right w:w="10" w:type="dxa"/>
          </w:tblCellMar>
        </w:tblPrEx>
        <w:trPr>
          <w:trHeight w:val="278"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36C139AE">
            <w:pPr>
              <w:rPr>
                <w:rFonts w:ascii="宋体" w:hAnsi="宋体" w:cs="宋体"/>
              </w:rPr>
            </w:pPr>
            <w:r>
              <w:rPr>
                <w:rFonts w:ascii="宋体" w:hAnsi="宋体" w:cs="宋体"/>
                <w:sz w:val="24"/>
              </w:rPr>
              <w:t>采购合同章：</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77823A19">
            <w:pPr>
              <w:rPr>
                <w:rFonts w:ascii="宋体" w:hAnsi="宋体" w:cs="宋体"/>
              </w:rPr>
            </w:pPr>
            <w:r>
              <w:rPr>
                <w:rFonts w:ascii="宋体" w:hAnsi="宋体" w:cs="宋体"/>
                <w:sz w:val="24"/>
              </w:rPr>
              <w:t>合同章/公章：</w:t>
            </w:r>
          </w:p>
        </w:tc>
      </w:tr>
      <w:tr w14:paraId="4379CECF">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61C5F4EB">
            <w:pPr>
              <w:rPr>
                <w:rFonts w:ascii="宋体" w:hAnsi="宋体" w:cs="宋体"/>
                <w:sz w:val="22"/>
              </w:rPr>
            </w:pP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7F02F2AD">
            <w:pPr>
              <w:rPr>
                <w:rFonts w:ascii="宋体" w:hAnsi="宋体" w:cs="宋体"/>
                <w:sz w:val="22"/>
              </w:rPr>
            </w:pPr>
          </w:p>
        </w:tc>
      </w:tr>
      <w:tr w14:paraId="301BD70A">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33CD1042">
            <w:pPr>
              <w:rPr>
                <w:rFonts w:ascii="宋体" w:hAnsi="宋体" w:cs="宋体"/>
                <w:sz w:val="22"/>
              </w:rPr>
            </w:pP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5086458C">
            <w:pPr>
              <w:rPr>
                <w:rFonts w:ascii="宋体" w:hAnsi="宋体" w:cs="宋体"/>
              </w:rPr>
            </w:pPr>
            <w:r>
              <w:rPr>
                <w:rFonts w:ascii="宋体" w:hAnsi="宋体" w:cs="宋体"/>
                <w:sz w:val="24"/>
              </w:rPr>
              <w:t>开户银行：</w:t>
            </w:r>
          </w:p>
        </w:tc>
      </w:tr>
      <w:tr w14:paraId="2A1F0973">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64F6AA4A">
            <w:pPr>
              <w:rPr>
                <w:rFonts w:ascii="宋体" w:hAnsi="宋体" w:cs="宋体"/>
              </w:rPr>
            </w:pPr>
            <w:r>
              <w:rPr>
                <w:rFonts w:ascii="宋体" w:hAnsi="宋体" w:cs="宋体"/>
                <w:sz w:val="24"/>
              </w:rPr>
              <w:t>支付章：</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2C87F64F">
            <w:pPr>
              <w:rPr>
                <w:rFonts w:ascii="宋体" w:hAnsi="宋体" w:cs="宋体"/>
              </w:rPr>
            </w:pPr>
            <w:r>
              <w:rPr>
                <w:rFonts w:hint="eastAsia" w:ascii="宋体" w:hAnsi="宋体" w:cs="宋体"/>
                <w:sz w:val="24"/>
              </w:rPr>
              <w:t>账号</w:t>
            </w:r>
            <w:r>
              <w:rPr>
                <w:rFonts w:ascii="宋体" w:hAnsi="宋体" w:cs="宋体"/>
                <w:sz w:val="24"/>
              </w:rPr>
              <w:t>：</w:t>
            </w:r>
          </w:p>
        </w:tc>
      </w:tr>
    </w:tbl>
    <w:p w14:paraId="57406C44">
      <w:pPr>
        <w:spacing w:before="312"/>
        <w:jc w:val="right"/>
        <w:rPr>
          <w:rFonts w:ascii="仿宋_GB2312" w:hAnsi="仿宋_GB2312" w:eastAsia="仿宋_GB2312" w:cs="仿宋_GB2312"/>
          <w:sz w:val="24"/>
        </w:rPr>
      </w:pPr>
      <w:r>
        <w:rPr>
          <w:rFonts w:ascii="宋体" w:hAnsi="宋体" w:cs="宋体"/>
          <w:sz w:val="24"/>
        </w:rPr>
        <w:t>西安理工大学签订日期：</w:t>
      </w:r>
      <w:r>
        <w:rPr>
          <w:rFonts w:hint="eastAsia" w:ascii="宋体" w:hAnsi="宋体" w:cs="宋体"/>
          <w:sz w:val="24"/>
        </w:rPr>
        <w:t xml:space="preserve">   </w:t>
      </w:r>
      <w:r>
        <w:rPr>
          <w:rFonts w:hint="eastAsia" w:ascii="仿宋_GB2312" w:hAnsi="仿宋_GB2312" w:eastAsia="仿宋_GB2312" w:cs="仿宋_GB2312"/>
          <w:sz w:val="24"/>
        </w:rPr>
        <w:t xml:space="preserve">  </w:t>
      </w:r>
      <w:r>
        <w:rPr>
          <w:rFonts w:ascii="宋体" w:hAnsi="宋体" w:cs="宋体"/>
          <w:sz w:val="24"/>
        </w:rPr>
        <w:t>年</w:t>
      </w:r>
      <w:r>
        <w:rPr>
          <w:rFonts w:ascii="仿宋_GB2312" w:hAnsi="仿宋_GB2312" w:eastAsia="仿宋_GB2312" w:cs="仿宋_GB2312"/>
          <w:sz w:val="24"/>
        </w:rPr>
        <w:t xml:space="preserve">  </w:t>
      </w:r>
      <w:r>
        <w:rPr>
          <w:rFonts w:ascii="宋体" w:hAnsi="宋体" w:cs="宋体"/>
          <w:sz w:val="24"/>
        </w:rPr>
        <w:t>月</w:t>
      </w:r>
      <w:r>
        <w:rPr>
          <w:rFonts w:ascii="仿宋_GB2312" w:hAnsi="仿宋_GB2312" w:eastAsia="仿宋_GB2312" w:cs="仿宋_GB2312"/>
          <w:sz w:val="24"/>
        </w:rPr>
        <w:t xml:space="preserve">  </w:t>
      </w:r>
      <w:r>
        <w:rPr>
          <w:rFonts w:ascii="宋体" w:hAnsi="宋体" w:cs="宋体"/>
          <w:sz w:val="24"/>
        </w:rPr>
        <w:t>日</w:t>
      </w:r>
    </w:p>
    <w:p w14:paraId="2AB32E6A">
      <w:pPr>
        <w:jc w:val="right"/>
        <w:rPr>
          <w:rFonts w:ascii="仿宋_GB2312" w:hAnsi="仿宋_GB2312" w:eastAsia="仿宋_GB2312" w:cs="仿宋_GB2312"/>
          <w:sz w:val="24"/>
        </w:rPr>
      </w:pPr>
      <w:r>
        <w:rPr>
          <w:rFonts w:ascii="宋体" w:hAnsi="宋体" w:cs="宋体"/>
          <w:sz w:val="24"/>
        </w:rPr>
        <w:t>发票日期应大于签订日期</w:t>
      </w:r>
    </w:p>
    <w:p w14:paraId="1F4BFED5">
      <w:pPr>
        <w:rPr>
          <w:rFonts w:ascii="宋体" w:hAnsi="宋体" w:cs="宋体"/>
          <w:sz w:val="32"/>
        </w:rPr>
      </w:pPr>
      <w:r>
        <w:rPr>
          <w:rFonts w:hint="eastAsia" w:ascii="宋体" w:hAnsi="宋体" w:cs="宋体"/>
          <w:sz w:val="32"/>
        </w:rPr>
        <w:br w:type="page"/>
      </w:r>
    </w:p>
    <w:p w14:paraId="03578748">
      <w:pPr>
        <w:spacing w:before="312" w:after="312"/>
        <w:jc w:val="center"/>
        <w:rPr>
          <w:rFonts w:ascii="仿宋_GB2312" w:hAnsi="仿宋_GB2312" w:eastAsia="仿宋_GB2312" w:cs="仿宋_GB2312"/>
          <w:sz w:val="32"/>
        </w:rPr>
      </w:pPr>
      <w:r>
        <w:rPr>
          <w:rFonts w:hint="eastAsia" w:ascii="宋体" w:hAnsi="宋体" w:cs="宋体"/>
          <w:sz w:val="32"/>
        </w:rPr>
        <w:t>采购</w:t>
      </w:r>
      <w:r>
        <w:rPr>
          <w:rFonts w:ascii="宋体" w:hAnsi="宋体" w:cs="宋体"/>
          <w:sz w:val="32"/>
        </w:rPr>
        <w:t>合同</w:t>
      </w:r>
    </w:p>
    <w:p w14:paraId="1884B15B">
      <w:pPr>
        <w:spacing w:line="360" w:lineRule="auto"/>
        <w:ind w:firstLine="480"/>
        <w:rPr>
          <w:rFonts w:ascii="宋体" w:hAnsi="宋体" w:cs="宋体"/>
          <w:sz w:val="24"/>
        </w:rPr>
      </w:pPr>
      <w:r>
        <w:rPr>
          <w:rFonts w:ascii="宋体" w:hAnsi="宋体" w:cs="宋体"/>
          <w:sz w:val="24"/>
        </w:rPr>
        <w:t>根据《中华人民共和国政府采购法》、《中华人民共和国民法典》等相关法规，西安理工大学</w:t>
      </w:r>
      <w:r>
        <w:rPr>
          <w:rFonts w:hint="eastAsia" w:ascii="宋体" w:hAnsi="宋体" w:cs="宋体"/>
          <w:sz w:val="24"/>
        </w:rPr>
        <w:t>（甲方）</w:t>
      </w:r>
      <w:r>
        <w:rPr>
          <w:rFonts w:ascii="宋体" w:hAnsi="宋体" w:cs="宋体"/>
          <w:sz w:val="24"/>
        </w:rPr>
        <w:t>，</w:t>
      </w:r>
      <w:r>
        <w:rPr>
          <w:rFonts w:ascii="宋体" w:hAnsi="宋体" w:cs="宋体"/>
          <w:b/>
          <w:i/>
          <w:sz w:val="24"/>
        </w:rPr>
        <w:t>卖方企业名称</w:t>
      </w:r>
      <w:r>
        <w:rPr>
          <w:rFonts w:hint="eastAsia" w:ascii="宋体" w:hAnsi="宋体" w:cs="宋体"/>
          <w:b/>
          <w:i/>
          <w:sz w:val="24"/>
        </w:rPr>
        <w:t>（乙方）</w:t>
      </w:r>
      <w:r>
        <w:rPr>
          <w:rFonts w:ascii="宋体" w:hAnsi="宋体" w:cs="宋体"/>
          <w:sz w:val="24"/>
        </w:rPr>
        <w:t>，双方本着友好平等协商、互惠互利的原则维护双方合法权益，达成如下协议。</w:t>
      </w:r>
    </w:p>
    <w:tbl>
      <w:tblPr>
        <w:tblStyle w:val="2"/>
        <w:tblpPr w:leftFromText="180" w:rightFromText="180" w:vertAnchor="text" w:horzAnchor="page" w:tblpX="1811" w:tblpY="468"/>
        <w:tblOverlap w:val="never"/>
        <w:tblW w:w="0" w:type="auto"/>
        <w:tblInd w:w="0" w:type="dxa"/>
        <w:tblLayout w:type="autofit"/>
        <w:tblCellMar>
          <w:top w:w="0" w:type="dxa"/>
          <w:left w:w="10" w:type="dxa"/>
          <w:bottom w:w="0" w:type="dxa"/>
          <w:right w:w="10" w:type="dxa"/>
        </w:tblCellMar>
      </w:tblPr>
      <w:tblGrid>
        <w:gridCol w:w="565"/>
        <w:gridCol w:w="1122"/>
        <w:gridCol w:w="1118"/>
        <w:gridCol w:w="837"/>
        <w:gridCol w:w="837"/>
        <w:gridCol w:w="837"/>
        <w:gridCol w:w="639"/>
        <w:gridCol w:w="738"/>
        <w:gridCol w:w="846"/>
        <w:gridCol w:w="983"/>
      </w:tblGrid>
      <w:tr w14:paraId="357B41F6">
        <w:tblPrEx>
          <w:tblCellMar>
            <w:top w:w="0" w:type="dxa"/>
            <w:left w:w="10" w:type="dxa"/>
            <w:bottom w:w="0" w:type="dxa"/>
            <w:right w:w="10" w:type="dxa"/>
          </w:tblCellMar>
        </w:tblPrEx>
        <w:trPr>
          <w:trHeight w:val="276" w:hRule="atLeast"/>
        </w:trPr>
        <w:tc>
          <w:tcPr>
            <w:tcW w:w="5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74A94">
            <w:pPr>
              <w:jc w:val="center"/>
              <w:rPr>
                <w:rFonts w:ascii="宋体" w:hAnsi="宋体" w:cs="宋体"/>
                <w:bCs/>
              </w:rPr>
            </w:pPr>
            <w:r>
              <w:rPr>
                <w:rFonts w:ascii="宋体" w:hAnsi="宋体" w:cs="宋体"/>
                <w:bCs/>
              </w:rPr>
              <w:t>序号</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73866">
            <w:pPr>
              <w:jc w:val="center"/>
              <w:rPr>
                <w:rFonts w:ascii="宋体" w:hAnsi="宋体" w:cs="宋体"/>
                <w:bCs/>
              </w:rPr>
            </w:pPr>
            <w:r>
              <w:rPr>
                <w:rFonts w:ascii="宋体" w:hAnsi="宋体" w:cs="宋体"/>
                <w:bCs/>
              </w:rPr>
              <w:t>标的物名称</w:t>
            </w:r>
          </w:p>
        </w:tc>
        <w:tc>
          <w:tcPr>
            <w:tcW w:w="11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CCA3B">
            <w:pPr>
              <w:jc w:val="center"/>
              <w:rPr>
                <w:bCs/>
              </w:rPr>
            </w:pPr>
            <w:r>
              <w:rPr>
                <w:rFonts w:ascii="宋体" w:hAnsi="宋体" w:cs="宋体"/>
                <w:bCs/>
              </w:rPr>
              <w:t>规格</w:t>
            </w:r>
            <w:r>
              <w:rPr>
                <w:rFonts w:hint="eastAsia" w:ascii="宋体" w:hAnsi="宋体" w:cs="宋体"/>
                <w:bCs/>
              </w:rPr>
              <w:t>型号</w:t>
            </w: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7E7B2">
            <w:pPr>
              <w:jc w:val="center"/>
              <w:rPr>
                <w:rFonts w:ascii="宋体" w:hAnsi="宋体" w:cs="宋体"/>
                <w:bCs/>
              </w:rPr>
            </w:pPr>
            <w:r>
              <w:rPr>
                <w:rFonts w:ascii="宋体" w:hAnsi="宋体" w:cs="宋体"/>
                <w:bCs/>
              </w:rPr>
              <w:t>品牌</w:t>
            </w: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CB524">
            <w:pPr>
              <w:jc w:val="center"/>
              <w:rPr>
                <w:rFonts w:ascii="宋体" w:hAnsi="宋体" w:cs="宋体"/>
                <w:bCs/>
              </w:rPr>
            </w:pPr>
            <w:r>
              <w:rPr>
                <w:rFonts w:hint="eastAsia" w:ascii="宋体" w:hAnsi="宋体" w:cs="宋体"/>
                <w:bCs/>
              </w:rPr>
              <w:t>产地</w:t>
            </w: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CB51B6">
            <w:pPr>
              <w:jc w:val="center"/>
              <w:rPr>
                <w:rFonts w:ascii="宋体" w:hAnsi="宋体" w:cs="宋体"/>
                <w:bCs/>
              </w:rPr>
            </w:pPr>
            <w:r>
              <w:rPr>
                <w:rFonts w:hint="eastAsia" w:ascii="宋体" w:hAnsi="宋体" w:cs="宋体"/>
                <w:bCs/>
              </w:rPr>
              <w:t>制造商名称</w:t>
            </w:r>
          </w:p>
        </w:tc>
        <w:tc>
          <w:tcPr>
            <w:tcW w:w="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DD71">
            <w:pPr>
              <w:jc w:val="center"/>
              <w:rPr>
                <w:rFonts w:ascii="宋体" w:hAnsi="宋体" w:cs="宋体"/>
                <w:bCs/>
              </w:rPr>
            </w:pPr>
            <w:r>
              <w:rPr>
                <w:rFonts w:ascii="宋体" w:hAnsi="宋体" w:cs="宋体"/>
                <w:bCs/>
              </w:rPr>
              <w:t>单位</w:t>
            </w:r>
          </w:p>
        </w:tc>
        <w:tc>
          <w:tcPr>
            <w:tcW w:w="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D5F89">
            <w:pPr>
              <w:jc w:val="center"/>
              <w:rPr>
                <w:bCs/>
              </w:rPr>
            </w:pPr>
            <w:r>
              <w:rPr>
                <w:rFonts w:ascii="宋体" w:hAnsi="宋体" w:cs="宋体"/>
                <w:bCs/>
              </w:rPr>
              <w:t>数</w:t>
            </w:r>
            <w:r>
              <w:rPr>
                <w:rFonts w:ascii="Calibri" w:hAnsi="Calibri" w:eastAsia="Calibri" w:cs="Calibri"/>
                <w:bCs/>
              </w:rPr>
              <w:t xml:space="preserve"> </w:t>
            </w:r>
            <w:r>
              <w:rPr>
                <w:rFonts w:ascii="宋体" w:hAnsi="宋体" w:cs="宋体"/>
                <w:bCs/>
              </w:rPr>
              <w:t>量</w:t>
            </w:r>
          </w:p>
        </w:tc>
        <w:tc>
          <w:tcPr>
            <w:tcW w:w="8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B16ED">
            <w:pPr>
              <w:jc w:val="center"/>
              <w:rPr>
                <w:rFonts w:ascii="Calibri" w:hAnsi="Calibri" w:eastAsia="Calibri" w:cs="Calibri"/>
                <w:bCs/>
              </w:rPr>
            </w:pPr>
            <w:r>
              <w:rPr>
                <w:rFonts w:ascii="宋体" w:hAnsi="宋体" w:cs="宋体"/>
                <w:bCs/>
              </w:rPr>
              <w:t>单</w:t>
            </w:r>
            <w:r>
              <w:rPr>
                <w:rFonts w:ascii="Calibri" w:hAnsi="Calibri" w:eastAsia="Calibri" w:cs="Calibri"/>
                <w:bCs/>
              </w:rPr>
              <w:t xml:space="preserve"> </w:t>
            </w:r>
            <w:r>
              <w:rPr>
                <w:rFonts w:ascii="宋体" w:hAnsi="宋体" w:cs="宋体"/>
                <w:bCs/>
              </w:rPr>
              <w:t>价</w:t>
            </w:r>
          </w:p>
          <w:p w14:paraId="130919DD">
            <w:pPr>
              <w:jc w:val="center"/>
              <w:rPr>
                <w:bCs/>
              </w:rPr>
            </w:pPr>
            <w:r>
              <w:rPr>
                <w:rFonts w:ascii="宋体" w:hAnsi="宋体" w:cs="宋体"/>
                <w:bCs/>
              </w:rPr>
              <w:t>（元）</w:t>
            </w:r>
          </w:p>
        </w:tc>
        <w:tc>
          <w:tcPr>
            <w:tcW w:w="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08E17">
            <w:pPr>
              <w:jc w:val="center"/>
              <w:rPr>
                <w:rFonts w:ascii="Calibri" w:hAnsi="Calibri" w:eastAsia="Calibri" w:cs="Calibri"/>
                <w:bCs/>
              </w:rPr>
            </w:pPr>
            <w:r>
              <w:rPr>
                <w:rFonts w:ascii="宋体" w:hAnsi="宋体" w:cs="宋体"/>
                <w:bCs/>
              </w:rPr>
              <w:t>小</w:t>
            </w:r>
            <w:r>
              <w:rPr>
                <w:rFonts w:ascii="Calibri" w:hAnsi="Calibri" w:eastAsia="Calibri" w:cs="Calibri"/>
                <w:bCs/>
              </w:rPr>
              <w:t xml:space="preserve"> </w:t>
            </w:r>
            <w:r>
              <w:rPr>
                <w:rFonts w:ascii="宋体" w:hAnsi="宋体" w:cs="宋体"/>
                <w:bCs/>
              </w:rPr>
              <w:t>计</w:t>
            </w:r>
          </w:p>
          <w:p w14:paraId="33983E14">
            <w:pPr>
              <w:jc w:val="center"/>
              <w:rPr>
                <w:bCs/>
              </w:rPr>
            </w:pPr>
            <w:r>
              <w:rPr>
                <w:rFonts w:ascii="宋体" w:hAnsi="宋体" w:cs="宋体"/>
                <w:bCs/>
              </w:rPr>
              <w:t>（元）</w:t>
            </w:r>
          </w:p>
        </w:tc>
      </w:tr>
      <w:tr w14:paraId="28D28294">
        <w:tblPrEx>
          <w:tblCellMar>
            <w:top w:w="0" w:type="dxa"/>
            <w:left w:w="10" w:type="dxa"/>
            <w:bottom w:w="0" w:type="dxa"/>
            <w:right w:w="10" w:type="dxa"/>
          </w:tblCellMar>
        </w:tblPrEx>
        <w:trPr>
          <w:trHeight w:val="276" w:hRule="atLeast"/>
        </w:trPr>
        <w:tc>
          <w:tcPr>
            <w:tcW w:w="5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1F080">
            <w:pPr>
              <w:jc w:val="center"/>
            </w:pPr>
            <w:r>
              <w:rPr>
                <w:rFonts w:ascii="Calibri" w:hAnsi="Calibri" w:eastAsia="Calibri" w:cs="Calibri"/>
                <w:b/>
              </w:rPr>
              <w:t>1</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B33E6">
            <w:pPr>
              <w:jc w:val="center"/>
              <w:rPr>
                <w:rFonts w:ascii="宋体" w:hAnsi="宋体" w:cs="宋体"/>
                <w:sz w:val="22"/>
              </w:rPr>
            </w:pPr>
          </w:p>
        </w:tc>
        <w:tc>
          <w:tcPr>
            <w:tcW w:w="11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20952">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69CAEA">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07E208">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5F5700">
            <w:pPr>
              <w:jc w:val="center"/>
              <w:rPr>
                <w:rFonts w:ascii="宋体" w:hAnsi="宋体" w:cs="宋体"/>
                <w:sz w:val="22"/>
              </w:rPr>
            </w:pPr>
          </w:p>
        </w:tc>
        <w:tc>
          <w:tcPr>
            <w:tcW w:w="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868A0">
            <w:pPr>
              <w:jc w:val="center"/>
              <w:rPr>
                <w:rFonts w:ascii="宋体" w:hAnsi="宋体" w:cs="宋体"/>
                <w:sz w:val="22"/>
              </w:rPr>
            </w:pPr>
          </w:p>
        </w:tc>
        <w:tc>
          <w:tcPr>
            <w:tcW w:w="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11B5">
            <w:pPr>
              <w:jc w:val="center"/>
              <w:rPr>
                <w:rFonts w:ascii="宋体" w:hAnsi="宋体" w:cs="宋体"/>
                <w:sz w:val="22"/>
              </w:rPr>
            </w:pPr>
          </w:p>
        </w:tc>
        <w:tc>
          <w:tcPr>
            <w:tcW w:w="8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7ADDF">
            <w:pPr>
              <w:jc w:val="center"/>
              <w:rPr>
                <w:rFonts w:ascii="宋体" w:hAnsi="宋体" w:cs="宋体"/>
                <w:sz w:val="22"/>
              </w:rPr>
            </w:pPr>
          </w:p>
        </w:tc>
        <w:tc>
          <w:tcPr>
            <w:tcW w:w="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3FDE4">
            <w:pPr>
              <w:jc w:val="center"/>
              <w:rPr>
                <w:rFonts w:ascii="宋体" w:hAnsi="宋体" w:cs="宋体"/>
                <w:sz w:val="22"/>
              </w:rPr>
            </w:pPr>
          </w:p>
        </w:tc>
      </w:tr>
      <w:tr w14:paraId="142C5826">
        <w:tblPrEx>
          <w:tblCellMar>
            <w:top w:w="0" w:type="dxa"/>
            <w:left w:w="10" w:type="dxa"/>
            <w:bottom w:w="0" w:type="dxa"/>
            <w:right w:w="10" w:type="dxa"/>
          </w:tblCellMar>
        </w:tblPrEx>
        <w:trPr>
          <w:trHeight w:val="276" w:hRule="atLeast"/>
        </w:trPr>
        <w:tc>
          <w:tcPr>
            <w:tcW w:w="5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0117B">
            <w:pPr>
              <w:jc w:val="center"/>
            </w:pPr>
            <w:r>
              <w:rPr>
                <w:rFonts w:ascii="Calibri" w:hAnsi="Calibri" w:eastAsia="Calibri" w:cs="Calibri"/>
                <w:b/>
              </w:rPr>
              <w:t>2</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3D1C4">
            <w:pPr>
              <w:jc w:val="center"/>
              <w:rPr>
                <w:rFonts w:ascii="宋体" w:hAnsi="宋体" w:cs="宋体"/>
                <w:sz w:val="22"/>
              </w:rPr>
            </w:pPr>
          </w:p>
        </w:tc>
        <w:tc>
          <w:tcPr>
            <w:tcW w:w="11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CE622">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7A3D06">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CF12BB">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70A003">
            <w:pPr>
              <w:jc w:val="center"/>
              <w:rPr>
                <w:rFonts w:ascii="宋体" w:hAnsi="宋体" w:cs="宋体"/>
                <w:sz w:val="22"/>
              </w:rPr>
            </w:pPr>
          </w:p>
        </w:tc>
        <w:tc>
          <w:tcPr>
            <w:tcW w:w="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67101">
            <w:pPr>
              <w:jc w:val="center"/>
              <w:rPr>
                <w:rFonts w:ascii="宋体" w:hAnsi="宋体" w:cs="宋体"/>
                <w:sz w:val="22"/>
              </w:rPr>
            </w:pPr>
          </w:p>
        </w:tc>
        <w:tc>
          <w:tcPr>
            <w:tcW w:w="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86C26">
            <w:pPr>
              <w:jc w:val="center"/>
              <w:rPr>
                <w:rFonts w:ascii="宋体" w:hAnsi="宋体" w:cs="宋体"/>
                <w:sz w:val="22"/>
              </w:rPr>
            </w:pPr>
          </w:p>
        </w:tc>
        <w:tc>
          <w:tcPr>
            <w:tcW w:w="8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53659">
            <w:pPr>
              <w:jc w:val="center"/>
              <w:rPr>
                <w:rFonts w:ascii="宋体" w:hAnsi="宋体" w:cs="宋体"/>
                <w:sz w:val="22"/>
              </w:rPr>
            </w:pPr>
          </w:p>
        </w:tc>
        <w:tc>
          <w:tcPr>
            <w:tcW w:w="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01202">
            <w:pPr>
              <w:jc w:val="center"/>
              <w:rPr>
                <w:rFonts w:ascii="宋体" w:hAnsi="宋体" w:cs="宋体"/>
                <w:sz w:val="22"/>
              </w:rPr>
            </w:pPr>
          </w:p>
        </w:tc>
      </w:tr>
      <w:tr w14:paraId="7E9C2275">
        <w:tblPrEx>
          <w:tblCellMar>
            <w:top w:w="0" w:type="dxa"/>
            <w:left w:w="10" w:type="dxa"/>
            <w:bottom w:w="0" w:type="dxa"/>
            <w:right w:w="10" w:type="dxa"/>
          </w:tblCellMar>
        </w:tblPrEx>
        <w:trPr>
          <w:trHeight w:val="285" w:hRule="atLeast"/>
        </w:trPr>
        <w:tc>
          <w:tcPr>
            <w:tcW w:w="5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B2CA5">
            <w:pPr>
              <w:jc w:val="center"/>
            </w:pPr>
            <w:r>
              <w:rPr>
                <w:rFonts w:ascii="Calibri" w:hAnsi="Calibri" w:eastAsia="Calibri" w:cs="Calibri"/>
                <w:b/>
              </w:rPr>
              <w:t>3</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A919F">
            <w:pPr>
              <w:jc w:val="center"/>
              <w:rPr>
                <w:rFonts w:ascii="宋体" w:hAnsi="宋体" w:cs="宋体"/>
                <w:sz w:val="22"/>
              </w:rPr>
            </w:pPr>
          </w:p>
        </w:tc>
        <w:tc>
          <w:tcPr>
            <w:tcW w:w="11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1EAF5">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1EE9A7">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F64D31">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C051A8">
            <w:pPr>
              <w:jc w:val="center"/>
              <w:rPr>
                <w:rFonts w:ascii="宋体" w:hAnsi="宋体" w:cs="宋体"/>
                <w:sz w:val="22"/>
              </w:rPr>
            </w:pPr>
          </w:p>
        </w:tc>
        <w:tc>
          <w:tcPr>
            <w:tcW w:w="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014EC">
            <w:pPr>
              <w:jc w:val="center"/>
              <w:rPr>
                <w:rFonts w:ascii="宋体" w:hAnsi="宋体" w:cs="宋体"/>
                <w:sz w:val="22"/>
              </w:rPr>
            </w:pPr>
          </w:p>
        </w:tc>
        <w:tc>
          <w:tcPr>
            <w:tcW w:w="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E051C">
            <w:pPr>
              <w:jc w:val="center"/>
              <w:rPr>
                <w:rFonts w:ascii="宋体" w:hAnsi="宋体" w:cs="宋体"/>
                <w:sz w:val="22"/>
              </w:rPr>
            </w:pPr>
          </w:p>
        </w:tc>
        <w:tc>
          <w:tcPr>
            <w:tcW w:w="8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3C64EE">
            <w:pPr>
              <w:jc w:val="center"/>
              <w:rPr>
                <w:rFonts w:ascii="宋体" w:hAnsi="宋体" w:cs="宋体"/>
                <w:sz w:val="22"/>
              </w:rPr>
            </w:pPr>
          </w:p>
        </w:tc>
        <w:tc>
          <w:tcPr>
            <w:tcW w:w="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984CE">
            <w:pPr>
              <w:jc w:val="center"/>
              <w:rPr>
                <w:rFonts w:ascii="宋体" w:hAnsi="宋体" w:cs="宋体"/>
                <w:sz w:val="22"/>
              </w:rPr>
            </w:pPr>
          </w:p>
        </w:tc>
      </w:tr>
      <w:tr w14:paraId="28D90963">
        <w:tblPrEx>
          <w:tblCellMar>
            <w:top w:w="0" w:type="dxa"/>
            <w:left w:w="10" w:type="dxa"/>
            <w:bottom w:w="0" w:type="dxa"/>
            <w:right w:w="10" w:type="dxa"/>
          </w:tblCellMar>
        </w:tblPrEx>
        <w:trPr>
          <w:trHeight w:val="276" w:hRule="atLeast"/>
        </w:trPr>
        <w:tc>
          <w:tcPr>
            <w:tcW w:w="5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80735">
            <w:pPr>
              <w:jc w:val="center"/>
            </w:pPr>
            <w:r>
              <w:rPr>
                <w:rFonts w:ascii="Calibri" w:hAnsi="Calibri" w:eastAsia="Calibri" w:cs="Calibri"/>
                <w:b/>
              </w:rPr>
              <w:t>4</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E8966">
            <w:pPr>
              <w:jc w:val="center"/>
              <w:rPr>
                <w:rFonts w:ascii="宋体" w:hAnsi="宋体" w:cs="宋体"/>
                <w:sz w:val="22"/>
              </w:rPr>
            </w:pPr>
          </w:p>
        </w:tc>
        <w:tc>
          <w:tcPr>
            <w:tcW w:w="11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23DA9">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B111CC">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2C5647">
            <w:pPr>
              <w:jc w:val="center"/>
              <w:rPr>
                <w:rFonts w:ascii="宋体" w:hAnsi="宋体" w:cs="宋体"/>
                <w:sz w:val="22"/>
              </w:rPr>
            </w:pPr>
          </w:p>
        </w:tc>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578766">
            <w:pPr>
              <w:jc w:val="center"/>
              <w:rPr>
                <w:rFonts w:ascii="宋体" w:hAnsi="宋体" w:cs="宋体"/>
                <w:sz w:val="22"/>
              </w:rPr>
            </w:pPr>
          </w:p>
        </w:tc>
        <w:tc>
          <w:tcPr>
            <w:tcW w:w="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AB852">
            <w:pPr>
              <w:jc w:val="center"/>
              <w:rPr>
                <w:rFonts w:ascii="宋体" w:hAnsi="宋体" w:cs="宋体"/>
                <w:sz w:val="22"/>
              </w:rPr>
            </w:pPr>
          </w:p>
        </w:tc>
        <w:tc>
          <w:tcPr>
            <w:tcW w:w="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BD541">
            <w:pPr>
              <w:jc w:val="center"/>
              <w:rPr>
                <w:rFonts w:ascii="宋体" w:hAnsi="宋体" w:cs="宋体"/>
                <w:sz w:val="22"/>
              </w:rPr>
            </w:pPr>
          </w:p>
        </w:tc>
        <w:tc>
          <w:tcPr>
            <w:tcW w:w="8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5A170">
            <w:pPr>
              <w:jc w:val="center"/>
              <w:rPr>
                <w:rFonts w:ascii="宋体" w:hAnsi="宋体" w:cs="宋体"/>
                <w:sz w:val="22"/>
              </w:rPr>
            </w:pPr>
          </w:p>
        </w:tc>
        <w:tc>
          <w:tcPr>
            <w:tcW w:w="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EFAD0">
            <w:pPr>
              <w:jc w:val="center"/>
              <w:rPr>
                <w:rFonts w:ascii="宋体" w:hAnsi="宋体" w:cs="宋体"/>
                <w:sz w:val="22"/>
              </w:rPr>
            </w:pPr>
          </w:p>
        </w:tc>
      </w:tr>
      <w:tr w14:paraId="681A4B00">
        <w:tblPrEx>
          <w:tblCellMar>
            <w:top w:w="0" w:type="dxa"/>
            <w:left w:w="10" w:type="dxa"/>
            <w:bottom w:w="0" w:type="dxa"/>
            <w:right w:w="10" w:type="dxa"/>
          </w:tblCellMar>
        </w:tblPrEx>
        <w:trPr>
          <w:cantSplit/>
          <w:trHeight w:val="523" w:hRule="atLeast"/>
        </w:trPr>
        <w:tc>
          <w:tcPr>
            <w:tcW w:w="8522" w:type="dxa"/>
            <w:gridSpan w:val="10"/>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D3379">
            <w:r>
              <w:rPr>
                <w:rFonts w:ascii="宋体" w:hAnsi="宋体" w:cs="宋体"/>
                <w:b/>
              </w:rPr>
              <w:t>总价（人民币大写）：</w:t>
            </w:r>
            <w:r>
              <w:rPr>
                <w:rFonts w:ascii="Calibri" w:hAnsi="Calibri" w:eastAsia="Calibri" w:cs="Calibri"/>
                <w:b/>
              </w:rPr>
              <w:t xml:space="preserve">                               </w:t>
            </w:r>
            <w:r>
              <w:rPr>
                <w:rFonts w:ascii="宋体" w:hAnsi="宋体" w:cs="宋体"/>
                <w:b/>
              </w:rPr>
              <w:t>合计（小写）</w:t>
            </w:r>
            <w:r>
              <w:rPr>
                <w:rFonts w:ascii="Calibri" w:hAnsi="Calibri" w:eastAsia="Calibri" w:cs="Calibri"/>
                <w:b/>
              </w:rPr>
              <w:t xml:space="preserve">:        </w:t>
            </w:r>
            <w:r>
              <w:rPr>
                <w:rFonts w:ascii="宋体" w:hAnsi="宋体" w:cs="宋体"/>
                <w:b/>
              </w:rPr>
              <w:t>元</w:t>
            </w:r>
          </w:p>
        </w:tc>
      </w:tr>
      <w:tr w14:paraId="75984518">
        <w:tblPrEx>
          <w:tblCellMar>
            <w:top w:w="0" w:type="dxa"/>
            <w:left w:w="10" w:type="dxa"/>
            <w:bottom w:w="0" w:type="dxa"/>
            <w:right w:w="10" w:type="dxa"/>
          </w:tblCellMar>
        </w:tblPrEx>
        <w:trPr>
          <w:trHeight w:val="523" w:hRule="atLeast"/>
        </w:trPr>
        <w:tc>
          <w:tcPr>
            <w:tcW w:w="8522" w:type="dxa"/>
            <w:gridSpan w:val="10"/>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C2DD2">
            <w:pPr>
              <w:rPr>
                <w:rFonts w:ascii="Calibri" w:hAnsi="Calibri" w:eastAsia="Calibri" w:cs="Calibri"/>
                <w:b/>
              </w:rPr>
            </w:pPr>
            <w:r>
              <w:rPr>
                <w:rFonts w:ascii="宋体" w:hAnsi="宋体" w:cs="宋体"/>
                <w:b/>
              </w:rPr>
              <w:t>注：以上各项均包含材料费、安装费、税费等。</w:t>
            </w:r>
          </w:p>
          <w:p w14:paraId="62BEAA28">
            <w:r>
              <w:rPr>
                <w:rFonts w:ascii="宋体" w:hAnsi="宋体" w:cs="宋体"/>
                <w:b/>
                <w:i/>
              </w:rPr>
              <w:t>技术要求见附件</w:t>
            </w:r>
          </w:p>
        </w:tc>
      </w:tr>
    </w:tbl>
    <w:p w14:paraId="20BD7A4B">
      <w:pPr>
        <w:spacing w:line="360" w:lineRule="auto"/>
        <w:rPr>
          <w:rFonts w:ascii="宋体" w:hAnsi="宋体" w:cs="宋体"/>
          <w:sz w:val="24"/>
        </w:rPr>
      </w:pPr>
      <w:r>
        <w:rPr>
          <w:rFonts w:ascii="宋体" w:hAnsi="宋体" w:cs="宋体"/>
          <w:sz w:val="24"/>
        </w:rPr>
        <w:t>一、标的物及价款：</w:t>
      </w:r>
    </w:p>
    <w:p w14:paraId="174F9B5F">
      <w:pPr>
        <w:spacing w:line="360" w:lineRule="auto"/>
        <w:rPr>
          <w:rFonts w:ascii="宋体" w:hAnsi="宋体" w:cs="宋体"/>
          <w:sz w:val="24"/>
        </w:rPr>
      </w:pPr>
      <w:r>
        <w:rPr>
          <w:rFonts w:ascii="宋体" w:hAnsi="宋体" w:cs="宋体"/>
          <w:sz w:val="24"/>
        </w:rPr>
        <w:t>二、履约地点：</w:t>
      </w:r>
      <w:r>
        <w:rPr>
          <w:rFonts w:hint="eastAsia" w:ascii="宋体" w:hAnsi="宋体" w:cs="宋体"/>
          <w:sz w:val="24"/>
        </w:rPr>
        <w:t xml:space="preserve">            </w:t>
      </w:r>
    </w:p>
    <w:p w14:paraId="5F821A50">
      <w:pPr>
        <w:spacing w:line="360" w:lineRule="auto"/>
        <w:rPr>
          <w:rFonts w:ascii="宋体" w:hAnsi="宋体" w:cs="宋体"/>
          <w:sz w:val="24"/>
        </w:rPr>
      </w:pPr>
      <w:r>
        <w:rPr>
          <w:rFonts w:ascii="宋体" w:hAnsi="宋体" w:cs="宋体"/>
          <w:sz w:val="24"/>
        </w:rPr>
        <w:t>三、履约期限：</w:t>
      </w:r>
      <w:r>
        <w:rPr>
          <w:rFonts w:hint="eastAsia" w:ascii="宋体" w:hAnsi="宋体" w:cs="宋体"/>
          <w:sz w:val="24"/>
        </w:rPr>
        <w:t xml:space="preserve">            </w:t>
      </w:r>
    </w:p>
    <w:p w14:paraId="77AD21C8">
      <w:pPr>
        <w:spacing w:line="360" w:lineRule="auto"/>
        <w:rPr>
          <w:rFonts w:ascii="宋体" w:hAnsi="宋体" w:cs="宋体"/>
          <w:sz w:val="24"/>
        </w:rPr>
      </w:pPr>
      <w:r>
        <w:rPr>
          <w:rFonts w:ascii="宋体" w:hAnsi="宋体" w:cs="宋体"/>
          <w:sz w:val="24"/>
        </w:rPr>
        <w:t>四、履约方式：现场安装调试。</w:t>
      </w:r>
    </w:p>
    <w:p w14:paraId="2EA03A2C">
      <w:pPr>
        <w:spacing w:line="360" w:lineRule="auto"/>
        <w:rPr>
          <w:rFonts w:ascii="宋体" w:hAnsi="宋体" w:cs="宋体"/>
          <w:sz w:val="24"/>
        </w:rPr>
      </w:pPr>
      <w:r>
        <w:rPr>
          <w:rFonts w:ascii="宋体" w:hAnsi="宋体" w:cs="宋体"/>
          <w:sz w:val="24"/>
        </w:rPr>
        <w:t>五、验收标准：</w:t>
      </w:r>
    </w:p>
    <w:p w14:paraId="332A5B6A">
      <w:pPr>
        <w:spacing w:line="360" w:lineRule="auto"/>
        <w:rPr>
          <w:rFonts w:ascii="宋体" w:hAnsi="宋体" w:cs="宋体"/>
          <w:sz w:val="24"/>
        </w:rPr>
      </w:pPr>
      <w:r>
        <w:rPr>
          <w:rFonts w:hint="eastAsia" w:ascii="宋体" w:hAnsi="宋体" w:cs="宋体"/>
          <w:sz w:val="24"/>
        </w:rPr>
        <w:t>1、乙方应根据服务期限要求制定详细的项目开发计划，计划须至少包含：</w:t>
      </w:r>
    </w:p>
    <w:p w14:paraId="081C17BC">
      <w:pPr>
        <w:spacing w:line="360" w:lineRule="auto"/>
        <w:rPr>
          <w:rFonts w:ascii="宋体" w:hAnsi="宋体" w:cs="宋体"/>
          <w:sz w:val="24"/>
        </w:rPr>
      </w:pPr>
      <w:r>
        <w:rPr>
          <w:rFonts w:hint="eastAsia" w:ascii="宋体" w:hAnsi="宋体" w:cs="宋体"/>
          <w:sz w:val="24"/>
        </w:rPr>
        <w:t>（1）里程碑一（学科数据梳理与基础环境部署）：合同生效后60日内，完成学科数据的梳理工作，形成学科数据清单及数据结构说明文档；；完成系统基础环境搭建及部署准备工作，包括服务器环境配置、数据库安装、系统框架部署等。提交阶段性成果文件，经甲方确认后视为里程碑一完成。</w:t>
      </w:r>
    </w:p>
    <w:p w14:paraId="2A3C8361">
      <w:pPr>
        <w:spacing w:line="360" w:lineRule="auto"/>
        <w:rPr>
          <w:rFonts w:ascii="宋体" w:hAnsi="宋体" w:cs="宋体"/>
          <w:sz w:val="24"/>
        </w:rPr>
      </w:pPr>
      <w:r>
        <w:rPr>
          <w:rFonts w:hint="eastAsia" w:ascii="宋体" w:hAnsi="宋体" w:cs="宋体"/>
          <w:sz w:val="24"/>
        </w:rPr>
        <w:t>（2）里程碑二（核心交付）：合同生效后150日内，完成系统核心功能模块的开发与内部测试，包括数据整合处理、指标体系构建、驾驶舱展示框架搭建等内容；系统应达到可演示状态，具备基本业务逻辑与数据展示能力；同步完成面向全校信息化建设的统一编码方案设计，结合国家/教育行业标准及学校未来发展规划，形成关键业务实体编码规则，确保编码唯一性、科学性和可扩展性，并提交《学校数据编码标准规范》及阶段性成果报告，经甲方确认后视为里程碑二完成。</w:t>
      </w:r>
    </w:p>
    <w:p w14:paraId="08E66664">
      <w:pPr>
        <w:spacing w:line="360" w:lineRule="auto"/>
        <w:rPr>
          <w:rFonts w:ascii="宋体" w:hAnsi="宋体" w:cs="宋体"/>
          <w:sz w:val="24"/>
        </w:rPr>
      </w:pPr>
      <w:r>
        <w:rPr>
          <w:rFonts w:hint="eastAsia" w:ascii="宋体" w:hAnsi="宋体" w:cs="宋体"/>
          <w:sz w:val="24"/>
        </w:rPr>
        <w:t>（3）里程碑三（试运行启动）：完成系统在生产环境中的部署与调试，具备正式运行条件；完成数据对接及系统稳定性测试；正式启动为期 1 个月的试运行，并形成试运行方案；经甲方确认后视为里程碑三完成。</w:t>
      </w:r>
    </w:p>
    <w:p w14:paraId="234B5CBE">
      <w:pPr>
        <w:spacing w:line="360" w:lineRule="auto"/>
        <w:rPr>
          <w:rFonts w:ascii="宋体" w:hAnsi="宋体" w:cs="宋体"/>
          <w:sz w:val="24"/>
        </w:rPr>
      </w:pPr>
      <w:r>
        <w:rPr>
          <w:rFonts w:hint="eastAsia" w:ascii="宋体" w:hAnsi="宋体" w:cs="宋体"/>
          <w:sz w:val="24"/>
        </w:rPr>
        <w:t>（4）里程碑四（最终验收）：试运行期满且发现的问题均已整改完成后，提交最终验收申请；通过最终验收后，视为项目全部完成。</w:t>
      </w:r>
    </w:p>
    <w:p w14:paraId="39185FBA">
      <w:pPr>
        <w:spacing w:line="360" w:lineRule="auto"/>
        <w:rPr>
          <w:rFonts w:ascii="宋体" w:hAnsi="宋体" w:cs="宋体"/>
          <w:sz w:val="24"/>
        </w:rPr>
      </w:pPr>
      <w:r>
        <w:rPr>
          <w:rFonts w:hint="eastAsia" w:ascii="宋体" w:hAnsi="宋体" w:cs="宋体"/>
          <w:sz w:val="24"/>
        </w:rPr>
        <w:t>2、验收条件：乙方应在项目开发过程中和交付使用后，按照软件工程的相关要求，将各个阶段产生的全面、规范的成果和文档资料交付给采购方，并提供明确的交付清单。</w:t>
      </w:r>
    </w:p>
    <w:p w14:paraId="23386607">
      <w:pPr>
        <w:spacing w:line="360" w:lineRule="auto"/>
        <w:rPr>
          <w:rFonts w:ascii="宋体" w:hAnsi="宋体" w:cs="宋体"/>
          <w:sz w:val="24"/>
        </w:rPr>
      </w:pPr>
      <w:r>
        <w:rPr>
          <w:rFonts w:hint="eastAsia" w:ascii="宋体" w:hAnsi="宋体" w:cs="宋体"/>
          <w:sz w:val="24"/>
        </w:rPr>
        <w:t>（1）交付的成果和文档资料应至少包括以下部分：①可运行的系统②项目文档：包括但不限于以下内容：开发环境配置说明、软件工具清单、《需求分析说明书》（含变更说明）、《系统设计说明书》（含概要设计、详细设计、数据库设计说明书）、《最终指标规格说明书》、《用户手册》、系统维护说明、《测试计划》及《测试报告》（含测试用例、测试结果）、系统培训资料、系统接口技术说明、项目管理文档（如计划、报告、会议纪要等）、第三方测试报告、数据安全保密协议及其他合同要求的文档。</w:t>
      </w:r>
    </w:p>
    <w:p w14:paraId="1DA322EA">
      <w:pPr>
        <w:spacing w:line="360" w:lineRule="auto"/>
        <w:rPr>
          <w:rFonts w:ascii="宋体" w:hAnsi="宋体" w:cs="宋体"/>
          <w:sz w:val="24"/>
        </w:rPr>
      </w:pPr>
      <w:r>
        <w:rPr>
          <w:rFonts w:hint="eastAsia" w:ascii="宋体" w:hAnsi="宋体" w:cs="宋体"/>
          <w:sz w:val="24"/>
        </w:rPr>
        <w:t>（2）初验的基本条件：①系统已按照设计要求、双方确认的《最终指标规格说明书》中所明确的、具备数据实现条件的指标内容和合同规定完成开发、测试、集成、安装和调试工作，功能完备，性能稳定，使用方便，满足用户需求。②采购方已熟悉系统的使用方式，并对系统的操作界面和功能表达满意度，系统能够提高用户的工作效率和质量。③系统已部署实施并上线运行，运行环境符合技术规范，运行效果符合预期目标。④系统在上线试运行期间没有出现严重的故障或影响业务部门正常工作的重大问题。</w:t>
      </w:r>
    </w:p>
    <w:p w14:paraId="770E6B38">
      <w:pPr>
        <w:spacing w:line="360" w:lineRule="auto"/>
        <w:rPr>
          <w:rFonts w:ascii="宋体" w:hAnsi="宋体" w:cs="宋体"/>
          <w:sz w:val="24"/>
        </w:rPr>
      </w:pPr>
      <w:r>
        <w:rPr>
          <w:rFonts w:hint="eastAsia" w:ascii="宋体" w:hAnsi="宋体" w:cs="宋体"/>
          <w:sz w:val="24"/>
        </w:rPr>
        <w:t>（3）终验的基本条件：①乙方已交付所有系统和项目文档，包括源代码、数据库、配置文件、设计文档、测试文档、用户手册、维护手册等。②系统在试运行期间保持正常运行状态，无影响业务部门的故障或问题。③乙方已解决所有在安装、调试、测试和试运行中发现的问题，并对系统进行了必要的优化和改进。</w:t>
      </w:r>
      <w:r>
        <w:rPr>
          <w:rFonts w:ascii="宋体" w:hAnsi="宋体" w:cs="宋体"/>
          <w:sz w:val="24"/>
        </w:rPr>
        <w:t xml:space="preserve">                                                        </w:t>
      </w:r>
    </w:p>
    <w:p w14:paraId="292E4EF4">
      <w:pPr>
        <w:numPr>
          <w:ilvl w:val="0"/>
          <w:numId w:val="1"/>
        </w:numPr>
        <w:spacing w:line="360" w:lineRule="auto"/>
        <w:rPr>
          <w:rFonts w:ascii="宋体" w:hAnsi="宋体" w:cs="宋体"/>
          <w:sz w:val="24"/>
        </w:rPr>
      </w:pPr>
      <w:r>
        <w:rPr>
          <w:rFonts w:ascii="宋体" w:hAnsi="宋体" w:cs="宋体"/>
          <w:sz w:val="24"/>
        </w:rPr>
        <w:t>质量及质保期：</w:t>
      </w:r>
    </w:p>
    <w:p w14:paraId="54442FD7">
      <w:pPr>
        <w:numPr>
          <w:ilvl w:val="0"/>
          <w:numId w:val="2"/>
        </w:numPr>
        <w:spacing w:line="360" w:lineRule="auto"/>
        <w:rPr>
          <w:rFonts w:ascii="宋体" w:hAnsi="宋体" w:cs="宋体"/>
          <w:sz w:val="24"/>
        </w:rPr>
      </w:pPr>
      <w:r>
        <w:rPr>
          <w:rFonts w:hint="eastAsia" w:ascii="宋体" w:hAnsi="宋体" w:cs="宋体"/>
          <w:sz w:val="24"/>
        </w:rPr>
        <w:t>质保期</w:t>
      </w:r>
      <w:r>
        <w:rPr>
          <w:rFonts w:hint="eastAsia" w:ascii="宋体" w:hAnsi="宋体" w:cs="宋体"/>
          <w:sz w:val="24"/>
          <w:u w:val="single"/>
        </w:rPr>
        <w:t xml:space="preserve">     </w:t>
      </w:r>
      <w:r>
        <w:rPr>
          <w:rFonts w:hint="eastAsia" w:ascii="宋体" w:hAnsi="宋体" w:cs="宋体"/>
          <w:sz w:val="24"/>
        </w:rPr>
        <w:t>年（自验收合格出具验收报告之日起算）。</w:t>
      </w:r>
    </w:p>
    <w:p w14:paraId="059505A2">
      <w:pPr>
        <w:numPr>
          <w:ilvl w:val="0"/>
          <w:numId w:val="2"/>
        </w:numPr>
        <w:spacing w:line="360" w:lineRule="auto"/>
        <w:rPr>
          <w:rFonts w:ascii="宋体" w:hAnsi="宋体" w:cs="宋体"/>
          <w:sz w:val="24"/>
        </w:rPr>
      </w:pPr>
      <w:r>
        <w:rPr>
          <w:rFonts w:hint="eastAsia" w:ascii="宋体" w:hAnsi="宋体" w:cs="宋体"/>
          <w:sz w:val="24"/>
        </w:rPr>
        <w:t>质保期内出现任何非人为故意损坏的质量问题，由乙方包换或包退，并承担调换或退货的全部费用。</w:t>
      </w:r>
    </w:p>
    <w:p w14:paraId="482A7F72">
      <w:pPr>
        <w:numPr>
          <w:ilvl w:val="0"/>
          <w:numId w:val="3"/>
        </w:numPr>
        <w:spacing w:line="360" w:lineRule="auto"/>
        <w:rPr>
          <w:rFonts w:ascii="宋体" w:hAnsi="宋体" w:cs="宋体"/>
          <w:sz w:val="24"/>
        </w:rPr>
      </w:pPr>
      <w:r>
        <w:rPr>
          <w:rFonts w:hint="eastAsia" w:ascii="宋体" w:hAnsi="宋体" w:cs="宋体"/>
          <w:sz w:val="24"/>
        </w:rPr>
        <w:t>质量标准：乙方的产品质量应当符合国家行业规定的标准，并无任何瑕疵；乙方应按配置清单要求提供原装产品，除人为因素损坏外，对该产品实行三包（即包修、包退、包换），及时提供所有设备正常使用所需的备品备件，且乙方维修所更换的配件和备品备件均为原设备厂家生产；</w:t>
      </w:r>
    </w:p>
    <w:p w14:paraId="367AE481">
      <w:pPr>
        <w:numPr>
          <w:ilvl w:val="0"/>
          <w:numId w:val="3"/>
        </w:numPr>
        <w:spacing w:line="360" w:lineRule="auto"/>
        <w:rPr>
          <w:rFonts w:ascii="宋体" w:hAnsi="宋体" w:cs="宋体"/>
          <w:sz w:val="24"/>
        </w:rPr>
      </w:pPr>
      <w:r>
        <w:rPr>
          <w:rFonts w:hint="eastAsia" w:ascii="宋体" w:hAnsi="宋体" w:cs="宋体"/>
          <w:sz w:val="24"/>
        </w:rPr>
        <w:t>不符约定处理：如交付品种、型号、规格不符合同约定的，由乙方负责退换，由此产生的一切费用及给甲方造成的相关损失由乙方全部承担并赔偿相应损失；</w:t>
      </w:r>
    </w:p>
    <w:p w14:paraId="19C7293D">
      <w:pPr>
        <w:numPr>
          <w:ilvl w:val="0"/>
          <w:numId w:val="3"/>
        </w:numPr>
        <w:spacing w:line="360" w:lineRule="auto"/>
        <w:rPr>
          <w:rFonts w:ascii="宋体" w:hAnsi="宋体" w:cs="宋体"/>
          <w:sz w:val="24"/>
        </w:rPr>
      </w:pPr>
      <w:r>
        <w:rPr>
          <w:rFonts w:hint="eastAsia" w:ascii="宋体" w:hAnsi="宋体" w:cs="宋体"/>
          <w:sz w:val="24"/>
        </w:rPr>
        <w:t>不能修理或调换：如不能修理或者不能调换的，按不能交货处理，因此给甲方造成的所有经济损失乙方应予全额赔偿；</w:t>
      </w:r>
    </w:p>
    <w:p w14:paraId="0E494E09">
      <w:pPr>
        <w:numPr>
          <w:ilvl w:val="0"/>
          <w:numId w:val="3"/>
        </w:numPr>
        <w:spacing w:line="360" w:lineRule="auto"/>
        <w:rPr>
          <w:rFonts w:ascii="宋体" w:hAnsi="宋体" w:cs="宋体"/>
          <w:sz w:val="24"/>
        </w:rPr>
      </w:pPr>
      <w:r>
        <w:rPr>
          <w:rFonts w:hint="eastAsia" w:ascii="宋体" w:hAnsi="宋体" w:cs="宋体"/>
          <w:sz w:val="24"/>
        </w:rPr>
        <w:t>质保服务：售后服务期自项目验收合格之日起计算，具体服务内容和质量要求如下：</w:t>
      </w:r>
    </w:p>
    <w:p w14:paraId="690C2475">
      <w:pPr>
        <w:numPr>
          <w:ilvl w:val="0"/>
          <w:numId w:val="4"/>
        </w:numPr>
        <w:spacing w:line="360" w:lineRule="auto"/>
        <w:rPr>
          <w:rFonts w:ascii="宋体" w:hAnsi="宋体" w:cs="宋体"/>
          <w:sz w:val="24"/>
        </w:rPr>
      </w:pPr>
      <w:r>
        <w:rPr>
          <w:rFonts w:hint="eastAsia" w:ascii="宋体" w:hAnsi="宋体" w:cs="宋体"/>
          <w:sz w:val="24"/>
        </w:rPr>
        <w:t>技术支持：乙方应保证在售后服务期内提供 7×24 小时技术支持服务，应提供本单位的热线电话、E-mail、传真、网站等途径，随时接受系统使用人员提出的各种技术问题，并在30分钟内响应，2小时内提供解决方案。乙方应在投标文件中明确提供技术支持服务的联系方式和响应流程。</w:t>
      </w:r>
      <w:r>
        <w:rPr>
          <w:rFonts w:hint="eastAsia" w:ascii="宋体" w:hAnsi="宋体" w:cs="宋体"/>
          <w:b/>
          <w:bCs/>
          <w:sz w:val="24"/>
        </w:rPr>
        <w:t>（若投标文件承诺时限小于采购人要求，以投标人承诺为准）</w:t>
      </w:r>
    </w:p>
    <w:p w14:paraId="29965173">
      <w:pPr>
        <w:numPr>
          <w:ilvl w:val="0"/>
          <w:numId w:val="4"/>
        </w:numPr>
        <w:spacing w:line="360" w:lineRule="auto"/>
        <w:rPr>
          <w:rFonts w:ascii="宋体" w:hAnsi="宋体" w:cs="宋体"/>
          <w:sz w:val="24"/>
        </w:rPr>
      </w:pPr>
      <w:r>
        <w:rPr>
          <w:rFonts w:hint="eastAsia" w:ascii="宋体" w:hAnsi="宋体" w:cs="宋体"/>
          <w:sz w:val="24"/>
        </w:rPr>
        <w:t>故障响应：乙方应保证在售后服务期内，各类故障应在30分钟内响应，2小时内解决问题。影响系统正常使用的bug在使用方提出后8小时内修正；系统安全漏洞的修复，要在使用方提出后24小时内解决。若乙方未能按时限解决问题，甲方有权自行处理，所发生费用由乙方承担。乙方应明确提供故障响应服务的质量保证和违约责任。</w:t>
      </w:r>
      <w:r>
        <w:rPr>
          <w:rFonts w:hint="eastAsia" w:ascii="宋体" w:hAnsi="宋体" w:cs="宋体"/>
          <w:b/>
          <w:bCs/>
          <w:sz w:val="24"/>
        </w:rPr>
        <w:t>（若投标文件承诺时限小于采购人要求，以投标人承诺为准）</w:t>
      </w:r>
    </w:p>
    <w:p w14:paraId="2A8EECF6">
      <w:pPr>
        <w:numPr>
          <w:ilvl w:val="0"/>
          <w:numId w:val="4"/>
        </w:numPr>
        <w:spacing w:line="360" w:lineRule="auto"/>
        <w:rPr>
          <w:rFonts w:ascii="宋体" w:hAnsi="宋体" w:cs="宋体"/>
          <w:sz w:val="24"/>
        </w:rPr>
      </w:pPr>
      <w:r>
        <w:rPr>
          <w:rFonts w:hint="eastAsia" w:ascii="宋体" w:hAnsi="宋体" w:cs="宋体"/>
          <w:sz w:val="24"/>
        </w:rPr>
        <w:t>软件升级：乙方应保证提供软件版本生命周期内的终身免费升级，在售后服务期内，提供持续的大版本免费更新服务。乙方应在投标文件中明确提供软件升级服务的内容和频率。</w:t>
      </w:r>
    </w:p>
    <w:p w14:paraId="0EA44666">
      <w:pPr>
        <w:numPr>
          <w:ilvl w:val="0"/>
          <w:numId w:val="4"/>
        </w:numPr>
        <w:spacing w:line="360" w:lineRule="auto"/>
        <w:rPr>
          <w:rFonts w:ascii="宋体" w:hAnsi="宋体" w:cs="宋体"/>
          <w:sz w:val="24"/>
        </w:rPr>
      </w:pPr>
      <w:r>
        <w:rPr>
          <w:rFonts w:hint="eastAsia" w:ascii="宋体" w:hAnsi="宋体" w:cs="宋体"/>
          <w:sz w:val="24"/>
        </w:rPr>
        <w:t>数据服务：对于在交付阶段经《最终指标规格说明书》确认，因甲方数据供给条件不成熟而暂缓的指标，乙方必须在系统架构中完成所有必要的底层数据模型、计算逻辑与接口的技术预留。在本项目约定的售后服务期内，一旦相关数据条件具备并由甲方书面提出实现要求后，乙方需配合完成该指标的全部开发、部署与上线工作。</w:t>
      </w:r>
    </w:p>
    <w:p w14:paraId="45BAEFB3">
      <w:pPr>
        <w:spacing w:line="360" w:lineRule="auto"/>
        <w:rPr>
          <w:rFonts w:ascii="宋体" w:hAnsi="宋体" w:cs="宋体"/>
          <w:sz w:val="24"/>
        </w:rPr>
      </w:pPr>
      <w:r>
        <w:rPr>
          <w:rFonts w:hint="eastAsia" w:ascii="宋体" w:hAnsi="宋体" w:cs="宋体"/>
          <w:sz w:val="24"/>
        </w:rPr>
        <w:t>5）续保服务：售后服务期到期后，乙方承诺以最低价提供续保服务，续保期内提供与免费售后服务期内相同的服务内容与服务质量。乙方应在报价中体现续保服务的价格，且不得高于项目总额的10%。乙方应在投标文件中明确提供续保服务和维护费用的方式、计算方法和支付条件。</w:t>
      </w:r>
    </w:p>
    <w:p w14:paraId="58617B74">
      <w:pPr>
        <w:spacing w:line="360" w:lineRule="auto"/>
        <w:rPr>
          <w:rFonts w:ascii="宋体" w:hAnsi="宋体" w:cs="宋体"/>
          <w:sz w:val="24"/>
        </w:rPr>
      </w:pPr>
      <w:r>
        <w:rPr>
          <w:rFonts w:hint="eastAsia" w:ascii="宋体" w:hAnsi="宋体" w:cs="宋体"/>
          <w:sz w:val="24"/>
        </w:rPr>
        <w:t>（5）瑕疵责任：乙方提供产品应无任何瑕疵，符合国际、国内相关标准。如在使用过程中本产品存在隐蔽瑕疵造成任何事故而引发的纠纷，由乙方全额负责赔偿，并为甲方修复瑕疵或更新换代，期间产生的费用均由乙方承担。</w:t>
      </w:r>
    </w:p>
    <w:p w14:paraId="47D141CE">
      <w:pPr>
        <w:spacing w:line="360" w:lineRule="auto"/>
        <w:rPr>
          <w:rFonts w:ascii="宋体" w:hAnsi="宋体" w:cs="宋体"/>
          <w:sz w:val="24"/>
        </w:rPr>
      </w:pPr>
      <w:r>
        <w:rPr>
          <w:rFonts w:ascii="宋体" w:hAnsi="宋体" w:cs="宋体"/>
          <w:sz w:val="24"/>
        </w:rPr>
        <w:t>七、结算方式：</w:t>
      </w:r>
    </w:p>
    <w:p w14:paraId="1A650B19">
      <w:pPr>
        <w:spacing w:line="360" w:lineRule="auto"/>
        <w:rPr>
          <w:rFonts w:ascii="宋体" w:hAnsi="宋体" w:cs="宋体"/>
          <w:sz w:val="24"/>
        </w:rPr>
      </w:pPr>
      <w:r>
        <w:rPr>
          <w:rFonts w:hint="eastAsia" w:ascii="宋体" w:hAnsi="宋体" w:cs="宋体"/>
          <w:sz w:val="24"/>
        </w:rPr>
        <w:t>1、付款时间：分期付款。</w:t>
      </w:r>
    </w:p>
    <w:p w14:paraId="3B2ACC45">
      <w:pPr>
        <w:spacing w:line="360" w:lineRule="auto"/>
        <w:rPr>
          <w:rFonts w:ascii="宋体" w:hAnsi="宋体" w:cs="宋体"/>
          <w:sz w:val="24"/>
        </w:rPr>
      </w:pPr>
      <w:r>
        <w:rPr>
          <w:rFonts w:hint="eastAsia" w:ascii="宋体" w:hAnsi="宋体" w:cs="宋体"/>
          <w:sz w:val="24"/>
        </w:rPr>
        <w:t>2、付款方式：银行转账（人民币）。</w:t>
      </w:r>
    </w:p>
    <w:p w14:paraId="52F1FD15">
      <w:pPr>
        <w:spacing w:line="360" w:lineRule="auto"/>
        <w:rPr>
          <w:rFonts w:ascii="宋体" w:hAnsi="宋体" w:cs="宋体"/>
          <w:sz w:val="24"/>
        </w:rPr>
      </w:pPr>
      <w:r>
        <w:rPr>
          <w:rFonts w:hint="eastAsia" w:ascii="宋体" w:hAnsi="宋体" w:cs="宋体"/>
          <w:sz w:val="24"/>
        </w:rPr>
        <w:t>3、付款条件：</w:t>
      </w:r>
    </w:p>
    <w:p w14:paraId="52722059">
      <w:pPr>
        <w:spacing w:line="360" w:lineRule="auto"/>
        <w:rPr>
          <w:rFonts w:ascii="宋体" w:hAnsi="宋体" w:cs="宋体"/>
          <w:sz w:val="24"/>
        </w:rPr>
      </w:pPr>
      <w:r>
        <w:rPr>
          <w:rFonts w:hint="eastAsia" w:ascii="宋体" w:hAnsi="宋体" w:cs="宋体"/>
          <w:sz w:val="24"/>
        </w:rPr>
        <w:t>（1）自合同签订后 ，乙方完成学科数据梳理与系统部署后，提供学科数据清单及阶段性成果材料，经甲方审核确认并签署阶段性成果确认文件后30日内，支付合同总金额的30.00%。</w:t>
      </w:r>
    </w:p>
    <w:p w14:paraId="1BE25645">
      <w:pPr>
        <w:spacing w:line="360" w:lineRule="auto"/>
        <w:rPr>
          <w:rFonts w:ascii="宋体" w:hAnsi="宋体" w:cs="宋体"/>
          <w:sz w:val="24"/>
        </w:rPr>
      </w:pPr>
      <w:r>
        <w:rPr>
          <w:rFonts w:hint="eastAsia" w:ascii="宋体" w:hAnsi="宋体" w:cs="宋体"/>
          <w:sz w:val="24"/>
        </w:rPr>
        <w:t>（2）项目通过终验后30日内，支付合同总金额的70.00%。</w:t>
      </w:r>
    </w:p>
    <w:p w14:paraId="087361A6">
      <w:pPr>
        <w:spacing w:line="360" w:lineRule="auto"/>
        <w:rPr>
          <w:rFonts w:ascii="宋体" w:hAnsi="宋体" w:cs="宋体"/>
          <w:sz w:val="24"/>
        </w:rPr>
      </w:pPr>
      <w:r>
        <w:rPr>
          <w:rFonts w:hint="eastAsia" w:ascii="宋体" w:hAnsi="宋体" w:cs="宋体"/>
          <w:sz w:val="24"/>
        </w:rPr>
        <w:t>八、</w:t>
      </w:r>
      <w:r>
        <w:rPr>
          <w:rFonts w:ascii="宋体" w:hAnsi="宋体" w:cs="宋体"/>
          <w:sz w:val="24"/>
        </w:rPr>
        <w:t>争议解决：</w:t>
      </w:r>
    </w:p>
    <w:p w14:paraId="6B9FDE06">
      <w:pPr>
        <w:spacing w:line="360" w:lineRule="auto"/>
        <w:rPr>
          <w:rFonts w:ascii="宋体" w:hAnsi="宋体" w:cs="宋体"/>
          <w:sz w:val="24"/>
        </w:rPr>
      </w:pPr>
      <w:r>
        <w:rPr>
          <w:rFonts w:hint="eastAsia" w:ascii="宋体" w:hAnsi="宋体" w:cs="宋体"/>
          <w:sz w:val="24"/>
        </w:rPr>
        <w:t>1、按《中华人民共和国民法典》中的相关条款执行。</w:t>
      </w:r>
    </w:p>
    <w:p w14:paraId="5FAB431F">
      <w:pPr>
        <w:spacing w:line="360" w:lineRule="auto"/>
        <w:rPr>
          <w:rFonts w:ascii="宋体" w:hAnsi="宋体" w:cs="宋体"/>
          <w:sz w:val="24"/>
        </w:rPr>
      </w:pPr>
      <w:r>
        <w:rPr>
          <w:rFonts w:hint="eastAsia" w:ascii="宋体" w:hAnsi="宋体" w:cs="宋体"/>
          <w:sz w:val="24"/>
        </w:rPr>
        <w:t>2、因本项目而发生的争议或纠纷，协商不成时可向甲方所在地的人民法院提起诉讼。</w:t>
      </w:r>
    </w:p>
    <w:p w14:paraId="791D649D">
      <w:pPr>
        <w:spacing w:line="360" w:lineRule="auto"/>
        <w:rPr>
          <w:rFonts w:ascii="宋体" w:hAnsi="宋体" w:cs="宋体"/>
          <w:sz w:val="24"/>
        </w:rPr>
      </w:pPr>
      <w:r>
        <w:rPr>
          <w:rFonts w:hint="eastAsia" w:ascii="宋体" w:hAnsi="宋体" w:cs="宋体"/>
          <w:sz w:val="24"/>
        </w:rPr>
        <w:t>3、乙方未按合同要求提供采购内容或质量不能满足技术要求，甲方会同监督机构、采购代理机构有权终止合同并对乙方违约行为进行追究，同时按政府采购供应商管理办法进行相应的处罚。</w:t>
      </w:r>
    </w:p>
    <w:p w14:paraId="1CD5E32D">
      <w:pPr>
        <w:spacing w:line="360" w:lineRule="auto"/>
        <w:rPr>
          <w:rFonts w:ascii="宋体" w:hAnsi="宋体" w:cs="宋体"/>
          <w:sz w:val="24"/>
        </w:rPr>
      </w:pPr>
      <w:r>
        <w:rPr>
          <w:rFonts w:hint="eastAsia" w:ascii="宋体" w:hAnsi="宋体" w:cs="宋体"/>
          <w:sz w:val="24"/>
        </w:rPr>
        <w:t>九</w:t>
      </w:r>
      <w:r>
        <w:rPr>
          <w:rFonts w:ascii="宋体" w:hAnsi="宋体" w:cs="宋体"/>
          <w:sz w:val="24"/>
        </w:rPr>
        <w:t>、违约责任：</w:t>
      </w:r>
    </w:p>
    <w:p w14:paraId="1BBD5822">
      <w:pPr>
        <w:spacing w:line="360" w:lineRule="auto"/>
        <w:ind w:firstLine="420" w:firstLineChars="175"/>
        <w:rPr>
          <w:rFonts w:ascii="宋体" w:hAnsi="宋体" w:cs="宋体"/>
          <w:sz w:val="24"/>
          <w:szCs w:val="24"/>
        </w:rPr>
      </w:pPr>
      <w:r>
        <w:rPr>
          <w:rFonts w:hint="eastAsia" w:ascii="宋体" w:hAnsi="宋体" w:cs="宋体"/>
          <w:sz w:val="24"/>
          <w:szCs w:val="24"/>
        </w:rPr>
        <w:t>乙方未按合同约定的交货日期交货的，每逾期一日，向甲方支付逾期交付货物价款的</w:t>
      </w:r>
      <w:r>
        <w:rPr>
          <w:rFonts w:hint="eastAsia" w:ascii="宋体" w:hAnsi="宋体" w:cs="宋体"/>
          <w:sz w:val="24"/>
          <w:szCs w:val="24"/>
          <w:u w:val="single"/>
        </w:rPr>
        <w:t>1%</w:t>
      </w:r>
      <w:r>
        <w:rPr>
          <w:rFonts w:hint="eastAsia" w:ascii="宋体" w:hAnsi="宋体" w:cs="宋体"/>
          <w:sz w:val="24"/>
          <w:szCs w:val="24"/>
        </w:rPr>
        <w:t>的违约金，但不超过合同总金额的10%。乙方支付逾期交货违约金并不免除其交货的责任。</w:t>
      </w:r>
    </w:p>
    <w:p w14:paraId="1B8DF87D">
      <w:pPr>
        <w:spacing w:line="360" w:lineRule="auto"/>
        <w:ind w:firstLine="420" w:firstLineChars="175"/>
        <w:rPr>
          <w:rFonts w:ascii="宋体" w:hAnsi="宋体" w:cs="宋体"/>
          <w:sz w:val="24"/>
          <w:szCs w:val="24"/>
        </w:rPr>
      </w:pPr>
      <w:r>
        <w:rPr>
          <w:rFonts w:hint="eastAsia" w:ascii="宋体" w:hAnsi="宋体" w:cs="宋体"/>
          <w:sz w:val="24"/>
          <w:szCs w:val="24"/>
        </w:rPr>
        <w:t>如乙方在政府采购合同规定的交货日期后</w:t>
      </w:r>
      <w:r>
        <w:rPr>
          <w:rFonts w:hint="eastAsia" w:ascii="宋体" w:hAnsi="宋体" w:cs="宋体"/>
          <w:sz w:val="24"/>
          <w:szCs w:val="24"/>
          <w:u w:val="single"/>
        </w:rPr>
        <w:t>10</w:t>
      </w:r>
      <w:r>
        <w:rPr>
          <w:rFonts w:hint="eastAsia" w:ascii="宋体" w:hAnsi="宋体" w:cs="宋体"/>
          <w:sz w:val="24"/>
          <w:szCs w:val="24"/>
        </w:rPr>
        <w:t>天内仍未能交货，则视为乙方不能交货，甲方有权解除政府采购合同，乙方除退还已收取的货款外，还应向甲方偿付政府采购合同总金额</w:t>
      </w:r>
      <w:r>
        <w:rPr>
          <w:rFonts w:hint="eastAsia" w:ascii="宋体" w:hAnsi="宋体" w:cs="宋体"/>
          <w:sz w:val="24"/>
          <w:szCs w:val="24"/>
          <w:u w:val="single"/>
        </w:rPr>
        <w:t>10%</w:t>
      </w:r>
      <w:r>
        <w:rPr>
          <w:rFonts w:hint="eastAsia" w:ascii="宋体" w:hAnsi="宋体" w:cs="宋体"/>
          <w:sz w:val="24"/>
          <w:szCs w:val="24"/>
        </w:rPr>
        <w:t>的违约金。</w:t>
      </w:r>
    </w:p>
    <w:p w14:paraId="0A8CB4D1">
      <w:pPr>
        <w:spacing w:line="360" w:lineRule="auto"/>
        <w:ind w:firstLine="420" w:firstLineChars="175"/>
        <w:rPr>
          <w:rFonts w:ascii="宋体" w:hAnsi="宋体" w:cs="宋体"/>
          <w:sz w:val="24"/>
        </w:rPr>
      </w:pPr>
      <w:r>
        <w:rPr>
          <w:rFonts w:hint="eastAsia" w:ascii="宋体" w:hAnsi="宋体" w:cs="宋体"/>
          <w:sz w:val="24"/>
          <w:szCs w:val="24"/>
        </w:rPr>
        <w:t>乙方所交付货物及伴随的工程或服务不符合其投标承诺，存在偷工减料、以次充好情形的，甲方要求更换一次后仍不符合约定的，甲方有权解除政府采购合同，没收履约保证金，并将有关情况上报政府采购监管部门处理。</w:t>
      </w:r>
    </w:p>
    <w:p w14:paraId="465FB739">
      <w:pPr>
        <w:spacing w:line="360" w:lineRule="auto"/>
        <w:ind w:firstLine="420" w:firstLineChars="200"/>
        <w:rPr>
          <w:rFonts w:ascii="宋体" w:hAnsi="宋体" w:cs="宋体"/>
          <w:sz w:val="24"/>
        </w:rPr>
      </w:pPr>
      <w:r>
        <w:rPr>
          <w:rFonts w:hint="eastAsia" w:ascii="宋体" w:hAnsi="宋体" w:cs="宋体"/>
          <w:i/>
        </w:rPr>
        <w:t>其他违约责任</w:t>
      </w:r>
      <w:r>
        <w:rPr>
          <w:rFonts w:ascii="宋体" w:hAnsi="宋体" w:cs="宋体"/>
          <w:i/>
        </w:rPr>
        <w:t>依据《中华人民共和国民法典》合同</w:t>
      </w:r>
      <w:r>
        <w:rPr>
          <w:rFonts w:hint="eastAsia" w:ascii="宋体" w:hAnsi="宋体" w:cs="宋体"/>
          <w:i/>
        </w:rPr>
        <w:t>篇</w:t>
      </w:r>
      <w:r>
        <w:rPr>
          <w:rFonts w:ascii="宋体" w:hAnsi="宋体" w:cs="宋体"/>
          <w:i/>
        </w:rPr>
        <w:t>相关条款执行或具体约定，具体约定的条款不能超出法规允许的范畴。</w:t>
      </w:r>
    </w:p>
    <w:p w14:paraId="323C8ADB">
      <w:pPr>
        <w:spacing w:line="360" w:lineRule="auto"/>
        <w:rPr>
          <w:rFonts w:ascii="宋体" w:hAnsi="宋体" w:cs="宋体"/>
          <w:sz w:val="24"/>
        </w:rPr>
      </w:pPr>
      <w:r>
        <w:rPr>
          <w:rFonts w:ascii="宋体" w:hAnsi="宋体" w:cs="宋体"/>
          <w:sz w:val="24"/>
        </w:rPr>
        <w:t>十</w:t>
      </w:r>
      <w:r>
        <w:rPr>
          <w:rFonts w:hint="eastAsia" w:ascii="宋体" w:hAnsi="宋体" w:cs="宋体"/>
          <w:sz w:val="24"/>
        </w:rPr>
        <w:t>一</w:t>
      </w:r>
      <w:r>
        <w:rPr>
          <w:rFonts w:ascii="宋体" w:hAnsi="宋体" w:cs="宋体"/>
          <w:sz w:val="24"/>
        </w:rPr>
        <w:t>、</w:t>
      </w:r>
      <w:r>
        <w:rPr>
          <w:rFonts w:hint="eastAsia" w:ascii="宋体" w:hAnsi="宋体" w:cs="宋体"/>
          <w:sz w:val="24"/>
        </w:rPr>
        <w:t>安全责任</w:t>
      </w:r>
      <w:r>
        <w:rPr>
          <w:rFonts w:ascii="宋体" w:hAnsi="宋体" w:cs="宋体"/>
          <w:sz w:val="24"/>
        </w:rPr>
        <w:t>:供方作为承接方，明确承诺对执行本合同过程中涉及的所有工作活动、服务及产品等的安全性承担全部责任。并严格遵守国家及地方关于安全生产、环境保护、消防安全、产品质量安全等相关法律法规，行业标准及需方的合理要求，确保工作过程中无安全事故发生，不对需方、第三方或环境造成任何损害。</w:t>
      </w:r>
    </w:p>
    <w:p w14:paraId="510A4F9F">
      <w:pPr>
        <w:spacing w:line="360" w:lineRule="auto"/>
        <w:rPr>
          <w:rFonts w:ascii="宋体" w:hAnsi="宋体" w:cs="宋体"/>
          <w:sz w:val="24"/>
        </w:rPr>
      </w:pPr>
      <w:r>
        <w:rPr>
          <w:rFonts w:ascii="宋体" w:hAnsi="宋体" w:cs="宋体"/>
          <w:sz w:val="24"/>
        </w:rPr>
        <w:t>十</w:t>
      </w:r>
      <w:r>
        <w:rPr>
          <w:rFonts w:hint="eastAsia" w:ascii="宋体" w:hAnsi="宋体" w:cs="宋体"/>
          <w:sz w:val="24"/>
        </w:rPr>
        <w:t>二</w:t>
      </w:r>
      <w:r>
        <w:rPr>
          <w:rFonts w:ascii="宋体" w:hAnsi="宋体" w:cs="宋体"/>
          <w:sz w:val="24"/>
        </w:rPr>
        <w:t>、招投标文件为本合同的附件，与本合同具有同等法律效力（本条款适用于招投标项目）</w:t>
      </w:r>
    </w:p>
    <w:p w14:paraId="427C7CF6">
      <w:pPr>
        <w:spacing w:line="360" w:lineRule="auto"/>
        <w:rPr>
          <w:rFonts w:ascii="宋体" w:hAnsi="宋体" w:cs="宋体"/>
          <w:sz w:val="24"/>
        </w:rPr>
      </w:pPr>
      <w:r>
        <w:rPr>
          <w:rFonts w:ascii="宋体" w:hAnsi="宋体" w:cs="宋体"/>
          <w:sz w:val="24"/>
        </w:rPr>
        <w:t>十</w:t>
      </w:r>
      <w:r>
        <w:rPr>
          <w:rFonts w:hint="eastAsia" w:ascii="宋体" w:hAnsi="宋体" w:cs="宋体"/>
          <w:sz w:val="24"/>
        </w:rPr>
        <w:t>三</w:t>
      </w:r>
      <w:r>
        <w:rPr>
          <w:rFonts w:ascii="宋体" w:hAnsi="宋体" w:cs="宋体"/>
          <w:sz w:val="24"/>
        </w:rPr>
        <w:t>、其他约定事项：本合同供需双方分别签订，供方签字盖章后，需方代表按合同审签流程完成审签、盖章后合同生效。合同一式</w:t>
      </w:r>
      <w:r>
        <w:rPr>
          <w:rFonts w:hint="eastAsia" w:ascii="宋体" w:hAnsi="宋体" w:cs="宋体"/>
          <w:sz w:val="24"/>
        </w:rPr>
        <w:t>陆</w:t>
      </w:r>
      <w:r>
        <w:rPr>
          <w:rFonts w:ascii="宋体" w:hAnsi="宋体" w:cs="宋体"/>
          <w:sz w:val="24"/>
        </w:rPr>
        <w:t>份</w:t>
      </w:r>
      <w:r>
        <w:rPr>
          <w:rFonts w:hint="eastAsia" w:ascii="宋体" w:hAnsi="宋体" w:cs="宋体"/>
          <w:sz w:val="24"/>
        </w:rPr>
        <w:t>，甲方叁</w:t>
      </w:r>
      <w:r>
        <w:rPr>
          <w:rFonts w:ascii="宋体" w:hAnsi="宋体" w:cs="宋体"/>
          <w:sz w:val="24"/>
        </w:rPr>
        <w:t>份</w:t>
      </w:r>
      <w:r>
        <w:rPr>
          <w:rFonts w:hint="eastAsia" w:ascii="宋体" w:hAnsi="宋体" w:cs="宋体"/>
          <w:sz w:val="24"/>
        </w:rPr>
        <w:t>，乙方叁</w:t>
      </w:r>
      <w:r>
        <w:rPr>
          <w:rFonts w:ascii="宋体" w:hAnsi="宋体" w:cs="宋体"/>
          <w:sz w:val="24"/>
        </w:rPr>
        <w:t>份。</w:t>
      </w:r>
    </w:p>
    <w:tbl>
      <w:tblPr>
        <w:tblStyle w:val="2"/>
        <w:tblW w:w="0" w:type="auto"/>
        <w:jc w:val="center"/>
        <w:tblLayout w:type="autofit"/>
        <w:tblCellMar>
          <w:top w:w="0" w:type="dxa"/>
          <w:left w:w="10" w:type="dxa"/>
          <w:bottom w:w="0" w:type="dxa"/>
          <w:right w:w="10" w:type="dxa"/>
        </w:tblCellMar>
      </w:tblPr>
      <w:tblGrid>
        <w:gridCol w:w="3881"/>
        <w:gridCol w:w="4641"/>
      </w:tblGrid>
      <w:tr w14:paraId="452AB24F">
        <w:tblPrEx>
          <w:tblCellMar>
            <w:top w:w="0" w:type="dxa"/>
            <w:left w:w="10" w:type="dxa"/>
            <w:bottom w:w="0" w:type="dxa"/>
            <w:right w:w="10" w:type="dxa"/>
          </w:tblCellMar>
        </w:tblPrEx>
        <w:trPr>
          <w:trHeight w:val="310" w:hRule="atLeast"/>
          <w:jc w:val="center"/>
        </w:trPr>
        <w:tc>
          <w:tcPr>
            <w:tcW w:w="3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896F8">
            <w:pPr>
              <w:rPr>
                <w:rFonts w:ascii="宋体" w:hAnsi="宋体" w:cs="宋体"/>
              </w:rPr>
            </w:pPr>
            <w:r>
              <w:rPr>
                <w:rFonts w:ascii="宋体" w:hAnsi="宋体" w:cs="宋体"/>
                <w:sz w:val="24"/>
              </w:rPr>
              <w:t xml:space="preserve">需方：西安理工大学        </w:t>
            </w:r>
          </w:p>
        </w:tc>
        <w:tc>
          <w:tcPr>
            <w:tcW w:w="4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B57BD8">
            <w:pPr>
              <w:jc w:val="left"/>
              <w:rPr>
                <w:rFonts w:ascii="宋体" w:hAnsi="宋体" w:cs="宋体"/>
              </w:rPr>
            </w:pPr>
            <w:r>
              <w:rPr>
                <w:rFonts w:ascii="宋体" w:hAnsi="宋体" w:cs="宋体"/>
                <w:sz w:val="24"/>
              </w:rPr>
              <w:t xml:space="preserve">供方： </w:t>
            </w:r>
          </w:p>
        </w:tc>
      </w:tr>
      <w:tr w14:paraId="13188361">
        <w:tblPrEx>
          <w:tblCellMar>
            <w:top w:w="0" w:type="dxa"/>
            <w:left w:w="10" w:type="dxa"/>
            <w:bottom w:w="0" w:type="dxa"/>
            <w:right w:w="10" w:type="dxa"/>
          </w:tblCellMar>
        </w:tblPrEx>
        <w:trPr>
          <w:trHeight w:val="429" w:hRule="atLeast"/>
          <w:jc w:val="center"/>
        </w:trPr>
        <w:tc>
          <w:tcPr>
            <w:tcW w:w="3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F12DB">
            <w:pPr>
              <w:rPr>
                <w:rFonts w:ascii="宋体" w:hAnsi="宋体" w:cs="宋体"/>
              </w:rPr>
            </w:pPr>
            <w:r>
              <w:rPr>
                <w:rFonts w:ascii="宋体" w:hAnsi="宋体" w:cs="宋体"/>
                <w:sz w:val="24"/>
              </w:rPr>
              <w:t>信用代码：1261000043523042XN</w:t>
            </w:r>
          </w:p>
        </w:tc>
        <w:tc>
          <w:tcPr>
            <w:tcW w:w="4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24877">
            <w:pPr>
              <w:jc w:val="left"/>
              <w:rPr>
                <w:rFonts w:ascii="宋体" w:hAnsi="宋体" w:cs="宋体"/>
              </w:rPr>
            </w:pPr>
            <w:r>
              <w:rPr>
                <w:rFonts w:ascii="宋体" w:hAnsi="宋体" w:cs="宋体"/>
                <w:sz w:val="24"/>
              </w:rPr>
              <w:t>信用代码：</w:t>
            </w:r>
          </w:p>
        </w:tc>
      </w:tr>
      <w:tr w14:paraId="158ED251">
        <w:tblPrEx>
          <w:tblCellMar>
            <w:top w:w="0" w:type="dxa"/>
            <w:left w:w="10" w:type="dxa"/>
            <w:bottom w:w="0" w:type="dxa"/>
            <w:right w:w="10" w:type="dxa"/>
          </w:tblCellMar>
        </w:tblPrEx>
        <w:trPr>
          <w:trHeight w:val="429" w:hRule="atLeast"/>
          <w:jc w:val="center"/>
        </w:trPr>
        <w:tc>
          <w:tcPr>
            <w:tcW w:w="3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957B5">
            <w:pPr>
              <w:rPr>
                <w:rFonts w:ascii="宋体" w:hAnsi="宋体" w:cs="宋体"/>
              </w:rPr>
            </w:pPr>
            <w:r>
              <w:rPr>
                <w:rFonts w:ascii="宋体" w:hAnsi="宋体" w:cs="宋体"/>
                <w:sz w:val="24"/>
              </w:rPr>
              <w:t>地址：西安市金花南路5号</w:t>
            </w:r>
          </w:p>
        </w:tc>
        <w:tc>
          <w:tcPr>
            <w:tcW w:w="4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594B1">
            <w:pPr>
              <w:jc w:val="left"/>
              <w:rPr>
                <w:rFonts w:ascii="宋体" w:hAnsi="宋体" w:cs="宋体"/>
              </w:rPr>
            </w:pPr>
            <w:r>
              <w:rPr>
                <w:rFonts w:ascii="宋体" w:hAnsi="宋体" w:cs="宋体"/>
                <w:sz w:val="24"/>
              </w:rPr>
              <w:t>地址：</w:t>
            </w:r>
          </w:p>
        </w:tc>
      </w:tr>
      <w:tr w14:paraId="5256AE6A">
        <w:tblPrEx>
          <w:tblCellMar>
            <w:top w:w="0" w:type="dxa"/>
            <w:left w:w="10" w:type="dxa"/>
            <w:bottom w:w="0" w:type="dxa"/>
            <w:right w:w="10" w:type="dxa"/>
          </w:tblCellMar>
        </w:tblPrEx>
        <w:trPr>
          <w:trHeight w:val="278" w:hRule="atLeast"/>
          <w:jc w:val="center"/>
        </w:trPr>
        <w:tc>
          <w:tcPr>
            <w:tcW w:w="3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8A59">
            <w:pPr>
              <w:rPr>
                <w:rFonts w:ascii="宋体" w:hAnsi="宋体" w:cs="宋体"/>
                <w:sz w:val="24"/>
              </w:rPr>
            </w:pPr>
            <w:r>
              <w:rPr>
                <w:rFonts w:ascii="宋体" w:hAnsi="宋体" w:cs="宋体"/>
                <w:sz w:val="24"/>
              </w:rPr>
              <w:t>开户银行：</w:t>
            </w:r>
            <w:r>
              <w:rPr>
                <w:rFonts w:ascii="宋体" w:hAnsi="宋体" w:cs="宋体"/>
              </w:rPr>
              <w:t>中国银行西安金花南路支行</w:t>
            </w:r>
          </w:p>
          <w:p w14:paraId="597A09BE">
            <w:r>
              <w:rPr>
                <w:rFonts w:hint="eastAsia" w:ascii="宋体" w:hAnsi="宋体" w:cs="宋体"/>
                <w:sz w:val="24"/>
              </w:rPr>
              <w:t>账号</w:t>
            </w:r>
            <w:r>
              <w:rPr>
                <w:rFonts w:ascii="宋体" w:hAnsi="宋体" w:cs="宋体"/>
                <w:sz w:val="24"/>
              </w:rPr>
              <w:t>：</w:t>
            </w:r>
            <w:r>
              <w:rPr>
                <w:rFonts w:eastAsia="Times New Roman"/>
              </w:rPr>
              <w:t>102891574567</w:t>
            </w:r>
          </w:p>
        </w:tc>
        <w:tc>
          <w:tcPr>
            <w:tcW w:w="4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34E2F">
            <w:pPr>
              <w:rPr>
                <w:rFonts w:ascii="宋体" w:hAnsi="宋体" w:cs="宋体"/>
                <w:sz w:val="24"/>
              </w:rPr>
            </w:pPr>
            <w:r>
              <w:rPr>
                <w:rFonts w:ascii="宋体" w:hAnsi="宋体" w:cs="宋体"/>
                <w:sz w:val="24"/>
              </w:rPr>
              <w:t>开户银行：</w:t>
            </w:r>
          </w:p>
          <w:p w14:paraId="11D3A581">
            <w:pPr>
              <w:rPr>
                <w:rFonts w:ascii="宋体" w:hAnsi="宋体" w:cs="宋体"/>
              </w:rPr>
            </w:pPr>
            <w:r>
              <w:rPr>
                <w:rFonts w:hint="eastAsia" w:ascii="宋体" w:hAnsi="宋体" w:cs="宋体"/>
                <w:sz w:val="24"/>
              </w:rPr>
              <w:t>账号</w:t>
            </w:r>
            <w:r>
              <w:rPr>
                <w:rFonts w:ascii="宋体" w:hAnsi="宋体" w:cs="宋体"/>
                <w:sz w:val="24"/>
              </w:rPr>
              <w:t>：</w:t>
            </w:r>
          </w:p>
        </w:tc>
      </w:tr>
      <w:tr w14:paraId="74D803D9">
        <w:tblPrEx>
          <w:tblCellMar>
            <w:top w:w="0" w:type="dxa"/>
            <w:left w:w="10" w:type="dxa"/>
            <w:bottom w:w="0" w:type="dxa"/>
            <w:right w:w="10" w:type="dxa"/>
          </w:tblCellMar>
        </w:tblPrEx>
        <w:trPr>
          <w:trHeight w:val="429" w:hRule="atLeast"/>
          <w:jc w:val="center"/>
        </w:trPr>
        <w:tc>
          <w:tcPr>
            <w:tcW w:w="3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E44B6">
            <w:pPr>
              <w:rPr>
                <w:rFonts w:ascii="宋体" w:hAnsi="宋体" w:cs="宋体"/>
              </w:rPr>
            </w:pPr>
            <w:r>
              <w:rPr>
                <w:rFonts w:ascii="宋体" w:hAnsi="宋体" w:cs="宋体"/>
                <w:sz w:val="24"/>
              </w:rPr>
              <w:t>采购合同章：</w:t>
            </w:r>
          </w:p>
        </w:tc>
        <w:tc>
          <w:tcPr>
            <w:tcW w:w="4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2D6FE">
            <w:pPr>
              <w:rPr>
                <w:rFonts w:ascii="宋体" w:hAnsi="宋体" w:cs="宋体"/>
              </w:rPr>
            </w:pPr>
            <w:r>
              <w:rPr>
                <w:rFonts w:ascii="宋体" w:hAnsi="宋体" w:cs="宋体"/>
                <w:sz w:val="24"/>
              </w:rPr>
              <w:t>合同章/公章</w:t>
            </w:r>
          </w:p>
        </w:tc>
      </w:tr>
      <w:tr w14:paraId="5F493835">
        <w:tblPrEx>
          <w:tblCellMar>
            <w:top w:w="0" w:type="dxa"/>
            <w:left w:w="10" w:type="dxa"/>
            <w:bottom w:w="0" w:type="dxa"/>
            <w:right w:w="10" w:type="dxa"/>
          </w:tblCellMar>
        </w:tblPrEx>
        <w:trPr>
          <w:trHeight w:val="429" w:hRule="atLeast"/>
          <w:jc w:val="center"/>
        </w:trPr>
        <w:tc>
          <w:tcPr>
            <w:tcW w:w="3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17B6F">
            <w:pPr>
              <w:rPr>
                <w:rFonts w:ascii="宋体" w:hAnsi="宋体" w:cs="宋体"/>
              </w:rPr>
            </w:pPr>
            <w:r>
              <w:rPr>
                <w:rFonts w:ascii="宋体" w:hAnsi="宋体" w:cs="宋体"/>
                <w:sz w:val="24"/>
              </w:rPr>
              <w:t>法人/委托代理人签字</w:t>
            </w:r>
          </w:p>
        </w:tc>
        <w:tc>
          <w:tcPr>
            <w:tcW w:w="4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8A175">
            <w:pPr>
              <w:rPr>
                <w:rFonts w:ascii="宋体" w:hAnsi="宋体" w:cs="宋体"/>
              </w:rPr>
            </w:pPr>
            <w:r>
              <w:rPr>
                <w:rFonts w:ascii="宋体" w:hAnsi="宋体" w:cs="宋体"/>
                <w:sz w:val="24"/>
              </w:rPr>
              <w:t>法人/委托代理人签字：</w:t>
            </w:r>
          </w:p>
        </w:tc>
      </w:tr>
      <w:tr w14:paraId="3780FCAF">
        <w:tblPrEx>
          <w:tblCellMar>
            <w:top w:w="0" w:type="dxa"/>
            <w:left w:w="10" w:type="dxa"/>
            <w:bottom w:w="0" w:type="dxa"/>
            <w:right w:w="10" w:type="dxa"/>
          </w:tblCellMar>
        </w:tblPrEx>
        <w:trPr>
          <w:trHeight w:val="429" w:hRule="atLeast"/>
          <w:jc w:val="center"/>
        </w:trPr>
        <w:tc>
          <w:tcPr>
            <w:tcW w:w="3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E01AC">
            <w:pPr>
              <w:rPr>
                <w:rFonts w:ascii="宋体" w:hAnsi="宋体" w:cs="宋体"/>
              </w:rPr>
            </w:pPr>
            <w:r>
              <w:rPr>
                <w:rFonts w:ascii="宋体" w:hAnsi="宋体" w:cs="宋体"/>
                <w:sz w:val="24"/>
              </w:rPr>
              <w:t>电话：</w:t>
            </w:r>
          </w:p>
        </w:tc>
        <w:tc>
          <w:tcPr>
            <w:tcW w:w="4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423C2">
            <w:pPr>
              <w:rPr>
                <w:rFonts w:ascii="宋体" w:hAnsi="宋体" w:cs="宋体"/>
              </w:rPr>
            </w:pPr>
            <w:r>
              <w:rPr>
                <w:rFonts w:ascii="宋体" w:hAnsi="宋体" w:cs="宋体"/>
                <w:sz w:val="24"/>
              </w:rPr>
              <w:t>电话：</w:t>
            </w:r>
          </w:p>
        </w:tc>
      </w:tr>
      <w:tr w14:paraId="773A70B3">
        <w:tblPrEx>
          <w:tblCellMar>
            <w:top w:w="0" w:type="dxa"/>
            <w:left w:w="10" w:type="dxa"/>
            <w:bottom w:w="0" w:type="dxa"/>
            <w:right w:w="10" w:type="dxa"/>
          </w:tblCellMar>
        </w:tblPrEx>
        <w:trPr>
          <w:trHeight w:val="429" w:hRule="atLeast"/>
          <w:jc w:val="center"/>
        </w:trPr>
        <w:tc>
          <w:tcPr>
            <w:tcW w:w="3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C1447">
            <w:pPr>
              <w:jc w:val="right"/>
              <w:rPr>
                <w:rFonts w:ascii="宋体" w:hAnsi="宋体" w:cs="宋体"/>
              </w:rPr>
            </w:pPr>
            <w:r>
              <w:rPr>
                <w:rFonts w:ascii="宋体" w:hAnsi="宋体" w:cs="宋体"/>
                <w:sz w:val="24"/>
              </w:rPr>
              <w:t>签订日期：</w:t>
            </w:r>
            <w:r>
              <w:rPr>
                <w:rFonts w:hint="eastAsia" w:ascii="宋体" w:hAnsi="宋体" w:cs="宋体"/>
                <w:sz w:val="24"/>
              </w:rPr>
              <w:t xml:space="preserve">    </w:t>
            </w:r>
            <w:r>
              <w:rPr>
                <w:rFonts w:ascii="宋体" w:hAnsi="宋体" w:cs="宋体"/>
                <w:sz w:val="24"/>
              </w:rPr>
              <w:t>年  月  日</w:t>
            </w:r>
          </w:p>
        </w:tc>
        <w:tc>
          <w:tcPr>
            <w:tcW w:w="4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1EEE4">
            <w:pPr>
              <w:jc w:val="right"/>
              <w:rPr>
                <w:rFonts w:ascii="宋体" w:hAnsi="宋体" w:cs="宋体"/>
              </w:rPr>
            </w:pPr>
            <w:r>
              <w:rPr>
                <w:rFonts w:ascii="宋体" w:hAnsi="宋体" w:cs="宋体"/>
                <w:sz w:val="24"/>
              </w:rPr>
              <w:t>签订日期：</w:t>
            </w:r>
            <w:r>
              <w:rPr>
                <w:rFonts w:hint="eastAsia" w:ascii="宋体" w:hAnsi="宋体" w:cs="宋体"/>
                <w:sz w:val="24"/>
              </w:rPr>
              <w:t xml:space="preserve">    </w:t>
            </w:r>
            <w:r>
              <w:rPr>
                <w:rFonts w:ascii="宋体" w:hAnsi="宋体" w:cs="宋体"/>
                <w:sz w:val="24"/>
              </w:rPr>
              <w:t>年  月  日</w:t>
            </w:r>
          </w:p>
        </w:tc>
      </w:tr>
    </w:tbl>
    <w:p w14:paraId="5CACB79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990AD6"/>
    <w:multiLevelType w:val="singleLevel"/>
    <w:tmpl w:val="96990AD6"/>
    <w:lvl w:ilvl="0" w:tentative="0">
      <w:start w:val="6"/>
      <w:numFmt w:val="chineseCounting"/>
      <w:suff w:val="nothing"/>
      <w:lvlText w:val="%1、"/>
      <w:lvlJc w:val="left"/>
      <w:rPr>
        <w:rFonts w:hint="eastAsia"/>
      </w:rPr>
    </w:lvl>
  </w:abstractNum>
  <w:abstractNum w:abstractNumId="1">
    <w:nsid w:val="9F0BA1F6"/>
    <w:multiLevelType w:val="singleLevel"/>
    <w:tmpl w:val="9F0BA1F6"/>
    <w:lvl w:ilvl="0" w:tentative="0">
      <w:start w:val="1"/>
      <w:numFmt w:val="decimal"/>
      <w:suff w:val="nothing"/>
      <w:lvlText w:val="（%1）"/>
      <w:lvlJc w:val="left"/>
    </w:lvl>
  </w:abstractNum>
  <w:abstractNum w:abstractNumId="2">
    <w:nsid w:val="BEDC17CA"/>
    <w:multiLevelType w:val="singleLevel"/>
    <w:tmpl w:val="BEDC17CA"/>
    <w:lvl w:ilvl="0" w:tentative="0">
      <w:start w:val="1"/>
      <w:numFmt w:val="decimal"/>
      <w:suff w:val="nothing"/>
      <w:lvlText w:val="%1）"/>
      <w:lvlJc w:val="left"/>
    </w:lvl>
  </w:abstractNum>
  <w:abstractNum w:abstractNumId="3">
    <w:nsid w:val="C9B7961D"/>
    <w:multiLevelType w:val="singleLevel"/>
    <w:tmpl w:val="C9B7961D"/>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53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2026-03-16T07:50:33Z</dcterms:created>
  <dc:creator>Administrator</dc:creator>
  <cp:lastModifiedBy>芹泽。</cp:lastModifiedBy>
  <dcterms:modified xsi:type="dcterms:W3CDTF">2026-03-16T07:50:58Z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FA3024910D684D088D9F3F9802E49007_12</vt:lpwstr>
  </property>
</Properties>
</file>