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版本号：HBZB2026-01220260316001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陕西省公安厅交通管理总队全省农村地区穿村过镇路段交通管理安全设施提升工程施工图设计项目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HBZB2026-012</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陕西省公安厅交通管理总队全省农村地区穿村过镇路段交通管理安全设施提升工程施工图设计项目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陕西省公安厅交通管理总队全省农村地区穿村过镇路段交通管理安全设施提升工程施工图设计项目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全省农村地区穿村过镇路段交通管理安全设施提升工程施工图设计项目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8、专业技术能力证明：具备履行合同所必需的设备和专业技术能力的证明材料(由投标人根据项目需求提供说明材料或者承诺)；未为本项目提供整体设计、规范编制或者项目管理、监理、检测等服务；</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10、资质要求：供应商应具备公路行业公路工程设计专业甲级资质或工程设计综合甲级资质</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房洪、吕潮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参照《国家计委关于印发〈招标代理服务收费管理暂行办法〉的通知》（计价格[2002]1980号）和《关于招标代理服务收费有关问题的通知》（发改办价格[2003]857号）规定标准收取。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转账事由：HBZB2026-012项目代理服务费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全省农村地区穿村过镇路段交通管理安全设施提升工程施工图设计项目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3,120,000.00</w:t>
      </w:r>
    </w:p>
    <w:p>
      <w:pPr>
        <w:pStyle w:val="null3"/>
      </w:pPr>
      <w:r>
        <w:rPr>
          <w:rFonts w:ascii="仿宋_GB2312" w:hAnsi="仿宋_GB2312" w:cs="仿宋_GB2312" w:eastAsia="仿宋_GB2312"/>
        </w:rPr>
        <w:t>采购包最高限价（元）: 3,120,000.00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全省农村地区穿村过镇路段交通管理安全设施提升工程施工图设计项目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标的名称：全省农村地区穿村过镇路段交通管理安全设施提升工程施工图设计项目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 xml:space="preserve">.1 </w:t>
            </w:r>
            <w:r>
              <w:rPr>
                <w:rFonts w:ascii="仿宋_GB2312" w:hAnsi="仿宋_GB2312" w:cs="仿宋_GB2312" w:eastAsia="仿宋_GB2312"/>
                <w:sz w:val="24"/>
                <w:b/>
              </w:rPr>
              <w:t>总体需求</w:t>
            </w:r>
          </w:p>
          <w:p>
            <w:pPr>
              <w:pStyle w:val="null3"/>
              <w:ind w:firstLine="480"/>
              <w:jc w:val="both"/>
            </w:pPr>
            <w:r>
              <w:rPr>
                <w:rFonts w:ascii="仿宋_GB2312" w:hAnsi="仿宋_GB2312" w:cs="仿宋_GB2312" w:eastAsia="仿宋_GB2312"/>
                <w:sz w:val="24"/>
              </w:rPr>
              <w:t>在西安市鄠邑区、西安市周至县、宝鸡市扶风县、咸阳市礼泉县、渭南市富平县、渭南市蒲城县、铜川市耀州区、延安市延川县、榆林市定边县、汉中市城固县、汉中市洋县、安康市旬阳市、安康市石泉县、商洛市丹凤县、商洛市洛南县等</w:t>
            </w:r>
            <w:r>
              <w:rPr>
                <w:rFonts w:ascii="仿宋_GB2312" w:hAnsi="仿宋_GB2312" w:cs="仿宋_GB2312" w:eastAsia="仿宋_GB2312"/>
                <w:sz w:val="24"/>
              </w:rPr>
              <w:t>15</w:t>
            </w:r>
            <w:r>
              <w:rPr>
                <w:rFonts w:ascii="仿宋_GB2312" w:hAnsi="仿宋_GB2312" w:cs="仿宋_GB2312" w:eastAsia="仿宋_GB2312"/>
                <w:sz w:val="24"/>
              </w:rPr>
              <w:t>个农村地区道路交通事故多发的县</w:t>
            </w:r>
            <w:r>
              <w:rPr>
                <w:rFonts w:ascii="仿宋_GB2312" w:hAnsi="仿宋_GB2312" w:cs="仿宋_GB2312" w:eastAsia="仿宋_GB2312"/>
                <w:sz w:val="24"/>
              </w:rPr>
              <w:t>（</w:t>
            </w:r>
            <w:r>
              <w:rPr>
                <w:rFonts w:ascii="仿宋_GB2312" w:hAnsi="仿宋_GB2312" w:cs="仿宋_GB2312" w:eastAsia="仿宋_GB2312"/>
                <w:sz w:val="24"/>
              </w:rPr>
              <w:t>市、区</w:t>
            </w:r>
            <w:r>
              <w:rPr>
                <w:rFonts w:ascii="仿宋_GB2312" w:hAnsi="仿宋_GB2312" w:cs="仿宋_GB2312" w:eastAsia="仿宋_GB2312"/>
                <w:sz w:val="24"/>
              </w:rPr>
              <w:t>）</w:t>
            </w:r>
            <w:r>
              <w:rPr>
                <w:rFonts w:ascii="仿宋_GB2312" w:hAnsi="仿宋_GB2312" w:cs="仿宋_GB2312" w:eastAsia="仿宋_GB2312"/>
                <w:sz w:val="24"/>
              </w:rPr>
              <w:t>，开展</w:t>
            </w:r>
            <w:r>
              <w:rPr>
                <w:rFonts w:ascii="仿宋_GB2312" w:hAnsi="仿宋_GB2312" w:cs="仿宋_GB2312" w:eastAsia="仿宋_GB2312"/>
                <w:sz w:val="24"/>
              </w:rPr>
              <w:t>农村地区</w:t>
            </w:r>
            <w:r>
              <w:rPr>
                <w:rFonts w:ascii="仿宋_GB2312" w:hAnsi="仿宋_GB2312" w:cs="仿宋_GB2312" w:eastAsia="仿宋_GB2312"/>
                <w:sz w:val="24"/>
              </w:rPr>
              <w:t>穿村过镇路段交通管理安全设施提升工程改造，如表</w:t>
            </w:r>
            <w:r>
              <w:rPr>
                <w:rFonts w:ascii="仿宋_GB2312" w:hAnsi="仿宋_GB2312" w:cs="仿宋_GB2312" w:eastAsia="仿宋_GB2312"/>
                <w:sz w:val="24"/>
              </w:rPr>
              <w:t>1.1</w:t>
            </w:r>
            <w:r>
              <w:rPr>
                <w:rFonts w:ascii="仿宋_GB2312" w:hAnsi="仿宋_GB2312" w:cs="仿宋_GB2312" w:eastAsia="仿宋_GB2312"/>
                <w:sz w:val="24"/>
              </w:rPr>
              <w:t>所示。对不少于</w:t>
            </w:r>
            <w:r>
              <w:rPr>
                <w:rFonts w:ascii="仿宋_GB2312" w:hAnsi="仿宋_GB2312" w:cs="仿宋_GB2312" w:eastAsia="仿宋_GB2312"/>
                <w:sz w:val="24"/>
              </w:rPr>
              <w:t>600</w:t>
            </w:r>
            <w:r>
              <w:rPr>
                <w:rFonts w:ascii="仿宋_GB2312" w:hAnsi="仿宋_GB2312" w:cs="仿宋_GB2312" w:eastAsia="仿宋_GB2312"/>
                <w:sz w:val="24"/>
              </w:rPr>
              <w:t>个穿村过镇路段、不少于</w:t>
            </w:r>
            <w:r>
              <w:rPr>
                <w:rFonts w:ascii="仿宋_GB2312" w:hAnsi="仿宋_GB2312" w:cs="仿宋_GB2312" w:eastAsia="仿宋_GB2312"/>
                <w:sz w:val="24"/>
              </w:rPr>
              <w:t>1000</w:t>
            </w:r>
            <w:r>
              <w:rPr>
                <w:rFonts w:ascii="仿宋_GB2312" w:hAnsi="仿宋_GB2312" w:cs="仿宋_GB2312" w:eastAsia="仿宋_GB2312"/>
                <w:sz w:val="24"/>
              </w:rPr>
              <w:t>公里完善标志标线，增设路灯、中央隔离设施、信号灯、卡口、监控设备、减速带、警示桩、警示灯</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1"/>
                <w:b/>
                <w:color w:val="000000"/>
              </w:rPr>
              <w:t>表</w:t>
            </w:r>
            <w:r>
              <w:rPr>
                <w:rFonts w:ascii="仿宋_GB2312" w:hAnsi="仿宋_GB2312" w:cs="仿宋_GB2312" w:eastAsia="仿宋_GB2312"/>
                <w:sz w:val="21"/>
                <w:b/>
                <w:color w:val="000000"/>
              </w:rPr>
              <w:t xml:space="preserve">1.1 </w:t>
            </w:r>
            <w:r>
              <w:rPr>
                <w:rFonts w:ascii="仿宋_GB2312" w:hAnsi="仿宋_GB2312" w:cs="仿宋_GB2312" w:eastAsia="仿宋_GB2312"/>
                <w:sz w:val="21"/>
                <w:b/>
                <w:color w:val="000000"/>
              </w:rPr>
              <w:t>全省</w:t>
            </w:r>
            <w:r>
              <w:rPr>
                <w:rFonts w:ascii="仿宋_GB2312" w:hAnsi="仿宋_GB2312" w:cs="仿宋_GB2312" w:eastAsia="仿宋_GB2312"/>
                <w:sz w:val="21"/>
                <w:b/>
                <w:color w:val="000000"/>
              </w:rPr>
              <w:t>农村地区</w:t>
            </w:r>
            <w:r>
              <w:rPr>
                <w:rFonts w:ascii="仿宋_GB2312" w:hAnsi="仿宋_GB2312" w:cs="仿宋_GB2312" w:eastAsia="仿宋_GB2312"/>
                <w:sz w:val="21"/>
                <w:b/>
                <w:color w:val="000000"/>
              </w:rPr>
              <w:t>事故多发穿村过镇路段信息表</w:t>
            </w:r>
          </w:p>
          <w:tbl>
            <w:tblPr>
              <w:tblInd w:type="dxa" w:w="120"/>
              <w:tblBorders>
                <w:top w:val="none" w:color="000000" w:sz="4"/>
                <w:left w:val="none" w:color="000000" w:sz="4"/>
                <w:bottom w:val="none" w:color="000000" w:sz="4"/>
                <w:right w:val="none" w:color="000000" w:sz="4"/>
                <w:insideH w:val="none"/>
                <w:insideV w:val="none"/>
              </w:tblBorders>
            </w:tblPr>
            <w:tblGrid>
              <w:gridCol w:w="237"/>
              <w:gridCol w:w="321"/>
              <w:gridCol w:w="390"/>
              <w:gridCol w:w="696"/>
              <w:gridCol w:w="427"/>
              <w:gridCol w:w="458"/>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所属城市</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所属区县</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路段数量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个</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路段长度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km</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鄠邑区</w:t>
                  </w:r>
                </w:p>
              </w:tc>
              <w:tc>
                <w:tcPr>
                  <w:tcW w:type="dxa" w:w="6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6</w:t>
                  </w:r>
                  <w:r>
                    <w:rPr>
                      <w:rFonts w:ascii="仿宋_GB2312" w:hAnsi="仿宋_GB2312" w:cs="仿宋_GB2312" w:eastAsia="仿宋_GB2312"/>
                      <w:sz w:val="21"/>
                      <w:color w:val="000000"/>
                    </w:rPr>
                    <w:t>00</w:t>
                  </w:r>
                  <w:r>
                    <w:rPr>
                      <w:rFonts w:ascii="仿宋_GB2312" w:hAnsi="仿宋_GB2312" w:cs="仿宋_GB2312" w:eastAsia="仿宋_GB2312"/>
                      <w:sz w:val="21"/>
                      <w:color w:val="000000"/>
                    </w:rPr>
                    <w:t>个</w:t>
                  </w:r>
                </w:p>
              </w:tc>
              <w:tc>
                <w:tcPr>
                  <w:tcW w:type="dxa" w:w="4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000</w:t>
                  </w:r>
                  <w:r>
                    <w:rPr>
                      <w:rFonts w:ascii="仿宋_GB2312" w:hAnsi="仿宋_GB2312" w:cs="仿宋_GB2312" w:eastAsia="仿宋_GB2312"/>
                      <w:sz w:val="21"/>
                      <w:color w:val="000000"/>
                    </w:rPr>
                    <w:t>km</w:t>
                  </w:r>
                </w:p>
              </w:tc>
              <w:tc>
                <w:tcPr>
                  <w:tcW w:type="dxa" w:w="4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路段数量及公里数为基本数量，实地踏勘后路段数量及公里数上升幅度</w:t>
                  </w:r>
                  <w:r>
                    <w:rPr>
                      <w:rFonts w:ascii="仿宋_GB2312" w:hAnsi="仿宋_GB2312" w:cs="仿宋_GB2312" w:eastAsia="仿宋_GB2312"/>
                      <w:sz w:val="21"/>
                      <w:color w:val="000000"/>
                    </w:rPr>
                    <w:t>15%</w:t>
                  </w:r>
                  <w:r>
                    <w:rPr>
                      <w:rFonts w:ascii="仿宋_GB2312" w:hAnsi="仿宋_GB2312" w:cs="仿宋_GB2312" w:eastAsia="仿宋_GB2312"/>
                      <w:sz w:val="21"/>
                      <w:color w:val="000000"/>
                    </w:rPr>
                    <w:t>以内的，不增加费用。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1"/>
                  <w:vMerge/>
                  <w:tcBorders>
                    <w:top w:val="none" w:color="000000" w:sz="4"/>
                    <w:left w:val="none" w:color="000000" w:sz="4"/>
                    <w:bottom w:val="non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周至县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扶风县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咸阳</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礼泉县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富平县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1"/>
                  <w:vMerge/>
                  <w:tcBorders>
                    <w:top w:val="none" w:color="000000" w:sz="4"/>
                    <w:left w:val="none" w:color="000000" w:sz="4"/>
                    <w:bottom w:val="non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蒲城县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铜川</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耀州区</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延川县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定边县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城固县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1"/>
                  <w:vMerge/>
                  <w:tcBorders>
                    <w:top w:val="none" w:color="000000" w:sz="4"/>
                    <w:left w:val="none" w:color="000000" w:sz="4"/>
                    <w:bottom w:val="non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洋县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安康</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旬阳市</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1"/>
                  <w:vMerge/>
                  <w:tcBorders>
                    <w:top w:val="none" w:color="000000" w:sz="4"/>
                    <w:left w:val="none" w:color="000000" w:sz="4"/>
                    <w:bottom w:val="non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石泉县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商洛</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丹凤县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1"/>
                  <w:vMerge/>
                  <w:tcBorders>
                    <w:top w:val="none" w:color="000000" w:sz="4"/>
                    <w:left w:val="none" w:color="000000" w:sz="4"/>
                    <w:bottom w:val="non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洛南县</w:t>
                  </w:r>
                </w:p>
              </w:tc>
              <w:tc>
                <w:tcPr>
                  <w:tcW w:type="dxa" w:w="696"/>
                  <w:vMerge/>
                  <w:tcBorders>
                    <w:top w:val="none" w:color="000000" w:sz="4"/>
                    <w:left w:val="none" w:color="000000" w:sz="4"/>
                    <w:bottom w:val="none" w:color="000000" w:sz="4"/>
                    <w:right w:val="single" w:color="000000" w:sz="4"/>
                  </w:tcBorders>
                </w:tcPr>
                <w:p/>
              </w:tc>
              <w:tc>
                <w:tcPr>
                  <w:tcW w:type="dxa" w:w="427"/>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none" w:color="000000" w:sz="4"/>
                    <w:right w:val="single" w:color="000000" w:sz="4"/>
                  </w:tcBorders>
                </w:tcPr>
                <w:p/>
              </w:tc>
            </w:tr>
            <w:tr>
              <w:tc>
                <w:tcPr>
                  <w:tcW w:type="dxa" w:w="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个区县</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000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b/>
              </w:rPr>
              <w:t xml:space="preserve">1.2 </w:t>
            </w:r>
            <w:r>
              <w:rPr>
                <w:rFonts w:ascii="仿宋_GB2312" w:hAnsi="仿宋_GB2312" w:cs="仿宋_GB2312" w:eastAsia="仿宋_GB2312"/>
                <w:sz w:val="24"/>
                <w:b/>
              </w:rPr>
              <w:t>依据的主要技术规范（规程）</w:t>
            </w:r>
          </w:p>
          <w:p>
            <w:pPr>
              <w:pStyle w:val="null3"/>
              <w:ind w:firstLine="480"/>
              <w:jc w:val="both"/>
            </w:pPr>
            <w:r>
              <w:rPr>
                <w:rFonts w:ascii="仿宋_GB2312" w:hAnsi="仿宋_GB2312" w:cs="仿宋_GB2312" w:eastAsia="仿宋_GB2312"/>
                <w:sz w:val="24"/>
              </w:rPr>
              <w:t>下列文件中凡是注明日期的引用文件，其随后所有的修改单（不包括勘误的内容）或修订版均不适用于本方案。凡是不注日期的引用文件，其最新版本适用于本方案。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《公路工程技术标准》</w:t>
            </w:r>
            <w:r>
              <w:rPr>
                <w:rFonts w:ascii="仿宋_GB2312" w:hAnsi="仿宋_GB2312" w:cs="仿宋_GB2312" w:eastAsia="仿宋_GB2312"/>
                <w:sz w:val="24"/>
              </w:rPr>
              <w:t>(JTG B01-2014)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《城镇化地区公路工程技术标准》</w:t>
            </w:r>
            <w:r>
              <w:rPr>
                <w:rFonts w:ascii="仿宋_GB2312" w:hAnsi="仿宋_GB2312" w:cs="仿宋_GB2312" w:eastAsia="仿宋_GB2312"/>
                <w:sz w:val="24"/>
              </w:rPr>
              <w:t>(JTG 2112-2021)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城镇化地区公路交通安全设施设计规范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JTGT 3381-0-2025)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《道路交通标志和标线第</w:t>
            </w:r>
            <w:r>
              <w:rPr>
                <w:rFonts w:ascii="仿宋_GB2312" w:hAnsi="仿宋_GB2312" w:cs="仿宋_GB2312" w:eastAsia="仿宋_GB2312"/>
                <w:sz w:val="24"/>
              </w:rPr>
              <w:t>1</w:t>
            </w:r>
            <w:r>
              <w:rPr>
                <w:rFonts w:ascii="仿宋_GB2312" w:hAnsi="仿宋_GB2312" w:cs="仿宋_GB2312" w:eastAsia="仿宋_GB2312"/>
                <w:sz w:val="24"/>
              </w:rPr>
              <w:t>部分：总则》</w:t>
            </w:r>
            <w:r>
              <w:rPr>
                <w:rFonts w:ascii="仿宋_GB2312" w:hAnsi="仿宋_GB2312" w:cs="仿宋_GB2312" w:eastAsia="仿宋_GB2312"/>
                <w:sz w:val="24"/>
              </w:rPr>
              <w:t>(GB 5768.1-2009)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《道路交通标志和标线第</w:t>
            </w:r>
            <w:r>
              <w:rPr>
                <w:rFonts w:ascii="仿宋_GB2312" w:hAnsi="仿宋_GB2312" w:cs="仿宋_GB2312" w:eastAsia="仿宋_GB2312"/>
                <w:sz w:val="24"/>
              </w:rPr>
              <w:t>2</w:t>
            </w:r>
            <w:r>
              <w:rPr>
                <w:rFonts w:ascii="仿宋_GB2312" w:hAnsi="仿宋_GB2312" w:cs="仿宋_GB2312" w:eastAsia="仿宋_GB2312"/>
                <w:sz w:val="24"/>
              </w:rPr>
              <w:t>部分：道路交通标志》</w:t>
            </w:r>
            <w:r>
              <w:rPr>
                <w:rFonts w:ascii="仿宋_GB2312" w:hAnsi="仿宋_GB2312" w:cs="仿宋_GB2312" w:eastAsia="仿宋_GB2312"/>
                <w:sz w:val="24"/>
              </w:rPr>
              <w:t>(GB5768.2-2022)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《道路交通标志和标线第</w:t>
            </w:r>
            <w:r>
              <w:rPr>
                <w:rFonts w:ascii="仿宋_GB2312" w:hAnsi="仿宋_GB2312" w:cs="仿宋_GB2312" w:eastAsia="仿宋_GB2312"/>
                <w:sz w:val="24"/>
              </w:rPr>
              <w:t>3</w:t>
            </w:r>
            <w:r>
              <w:rPr>
                <w:rFonts w:ascii="仿宋_GB2312" w:hAnsi="仿宋_GB2312" w:cs="仿宋_GB2312" w:eastAsia="仿宋_GB2312"/>
                <w:sz w:val="24"/>
              </w:rPr>
              <w:t>部分：道路交通标线》</w:t>
            </w:r>
            <w:r>
              <w:rPr>
                <w:rFonts w:ascii="仿宋_GB2312" w:hAnsi="仿宋_GB2312" w:cs="仿宋_GB2312" w:eastAsia="仿宋_GB2312"/>
                <w:sz w:val="24"/>
              </w:rPr>
              <w:t>(GB5768.3-2025)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《公路交通安全设施设计规范》</w:t>
            </w:r>
            <w:r>
              <w:rPr>
                <w:rFonts w:ascii="仿宋_GB2312" w:hAnsi="仿宋_GB2312" w:cs="仿宋_GB2312" w:eastAsia="仿宋_GB2312"/>
                <w:sz w:val="24"/>
              </w:rPr>
              <w:t>(JTG D81-2017)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《公路交通安全设施设计细则》</w:t>
            </w:r>
            <w:r>
              <w:rPr>
                <w:rFonts w:ascii="仿宋_GB2312" w:hAnsi="仿宋_GB2312" w:cs="仿宋_GB2312" w:eastAsia="仿宋_GB2312"/>
                <w:sz w:val="24"/>
              </w:rPr>
              <w:t>(JTG/T D81-2017)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《城市道路交通设施设计规范》</w:t>
            </w:r>
            <w:r>
              <w:rPr>
                <w:rFonts w:ascii="仿宋_GB2312" w:hAnsi="仿宋_GB2312" w:cs="仿宋_GB2312" w:eastAsia="仿宋_GB2312"/>
                <w:sz w:val="24"/>
              </w:rPr>
              <w:t>(GB 50688-2011)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）《道路交通信号灯设置与安装规范》（</w:t>
            </w:r>
            <w:r>
              <w:rPr>
                <w:rFonts w:ascii="仿宋_GB2312" w:hAnsi="仿宋_GB2312" w:cs="仿宋_GB2312" w:eastAsia="仿宋_GB2312"/>
                <w:sz w:val="24"/>
              </w:rPr>
              <w:t>GB 14886-2016</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）《城市道路交通组织设计规范》（</w:t>
            </w:r>
            <w:r>
              <w:rPr>
                <w:rFonts w:ascii="仿宋_GB2312" w:hAnsi="仿宋_GB2312" w:cs="仿宋_GB2312" w:eastAsia="仿宋_GB2312"/>
                <w:sz w:val="24"/>
              </w:rPr>
              <w:t>GB/T36670-2018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）《城市交通运行状况评价规范》（</w:t>
            </w:r>
            <w:r>
              <w:rPr>
                <w:rFonts w:ascii="仿宋_GB2312" w:hAnsi="仿宋_GB2312" w:cs="仿宋_GB2312" w:eastAsia="仿宋_GB2312"/>
                <w:sz w:val="24"/>
              </w:rPr>
              <w:t>GB/T33171-2016</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）《道路交通信息服务交通状况描述》（</w:t>
            </w:r>
            <w:r>
              <w:rPr>
                <w:rFonts w:ascii="仿宋_GB2312" w:hAnsi="仿宋_GB2312" w:cs="仿宋_GB2312" w:eastAsia="仿宋_GB2312"/>
                <w:sz w:val="24"/>
              </w:rPr>
              <w:t>GB/T29107-2012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）《道路交通信息发布规范》（</w:t>
            </w:r>
            <w:r>
              <w:rPr>
                <w:rFonts w:ascii="仿宋_GB2312" w:hAnsi="仿宋_GB2312" w:cs="仿宋_GB2312" w:eastAsia="仿宋_GB2312"/>
                <w:sz w:val="24"/>
              </w:rPr>
              <w:t>GA/T 994-2017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）《道路交通流量调查》（</w:t>
            </w:r>
            <w:r>
              <w:rPr>
                <w:rFonts w:ascii="仿宋_GB2312" w:hAnsi="仿宋_GB2312" w:cs="仿宋_GB2312" w:eastAsia="仿宋_GB2312"/>
                <w:sz w:val="24"/>
              </w:rPr>
              <w:t>GA/T 299-2020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）《道路交通堵塞度及评价方法》（</w:t>
            </w:r>
            <w:r>
              <w:rPr>
                <w:rFonts w:ascii="仿宋_GB2312" w:hAnsi="仿宋_GB2312" w:cs="仿宋_GB2312" w:eastAsia="仿宋_GB2312"/>
                <w:sz w:val="24"/>
              </w:rPr>
              <w:t>GA/T 115-2020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交通运输部、公安部联合印发《公路安全设施和交通秩序管理精细化提升行动方案》</w:t>
            </w:r>
            <w:r>
              <w:rPr>
                <w:rFonts w:ascii="仿宋_GB2312" w:hAnsi="仿宋_GB2312" w:cs="仿宋_GB2312" w:eastAsia="仿宋_GB2312"/>
                <w:sz w:val="24"/>
              </w:rPr>
              <w:t>，国务院安全生产委</w:t>
            </w:r>
            <w:r>
              <w:rPr>
                <w:rFonts w:ascii="仿宋_GB2312" w:hAnsi="仿宋_GB2312" w:cs="仿宋_GB2312" w:eastAsia="仿宋_GB2312"/>
                <w:sz w:val="24"/>
              </w:rPr>
              <w:t>“公路交通事故多发点段及严重安全隐患排查工作规范”，</w:t>
            </w:r>
            <w:r>
              <w:rPr>
                <w:rFonts w:ascii="仿宋_GB2312" w:hAnsi="仿宋_GB2312" w:cs="仿宋_GB2312" w:eastAsia="仿宋_GB2312"/>
                <w:sz w:val="24"/>
              </w:rPr>
              <w:t>交通运输部</w:t>
            </w:r>
            <w:r>
              <w:rPr>
                <w:rFonts w:ascii="仿宋_GB2312" w:hAnsi="仿宋_GB2312" w:cs="仿宋_GB2312" w:eastAsia="仿宋_GB2312"/>
                <w:sz w:val="24"/>
              </w:rPr>
              <w:t>“</w:t>
            </w:r>
            <w:r>
              <w:rPr>
                <w:rFonts w:ascii="仿宋_GB2312" w:hAnsi="仿宋_GB2312" w:cs="仿宋_GB2312" w:eastAsia="仿宋_GB2312"/>
                <w:sz w:val="24"/>
              </w:rPr>
              <w:t>关于推动四好农村路高质量发展的指导意见</w:t>
            </w:r>
            <w:r>
              <w:rPr>
                <w:rFonts w:ascii="仿宋_GB2312" w:hAnsi="仿宋_GB2312" w:cs="仿宋_GB2312" w:eastAsia="仿宋_GB2312"/>
                <w:sz w:val="24"/>
              </w:rPr>
              <w:t>”，</w:t>
            </w:r>
            <w:r>
              <w:rPr>
                <w:rFonts w:ascii="仿宋_GB2312" w:hAnsi="仿宋_GB2312" w:cs="仿宋_GB2312" w:eastAsia="仿宋_GB2312"/>
                <w:sz w:val="24"/>
              </w:rPr>
              <w:t>公安部交管局道路交通事故预防</w:t>
            </w:r>
            <w:r>
              <w:rPr>
                <w:rFonts w:ascii="仿宋_GB2312" w:hAnsi="仿宋_GB2312" w:cs="仿宋_GB2312" w:eastAsia="仿宋_GB2312"/>
                <w:sz w:val="24"/>
              </w:rPr>
              <w:t>“</w:t>
            </w:r>
            <w:r>
              <w:rPr>
                <w:rFonts w:ascii="仿宋_GB2312" w:hAnsi="仿宋_GB2312" w:cs="仿宋_GB2312" w:eastAsia="仿宋_GB2312"/>
                <w:sz w:val="24"/>
              </w:rPr>
              <w:t>减量控大</w:t>
            </w:r>
            <w:r>
              <w:rPr>
                <w:rFonts w:ascii="仿宋_GB2312" w:hAnsi="仿宋_GB2312" w:cs="仿宋_GB2312" w:eastAsia="仿宋_GB2312"/>
                <w:sz w:val="24"/>
              </w:rPr>
              <w:t>”</w:t>
            </w:r>
            <w:r>
              <w:rPr>
                <w:rFonts w:ascii="仿宋_GB2312" w:hAnsi="仿宋_GB2312" w:cs="仿宋_GB2312" w:eastAsia="仿宋_GB2312"/>
                <w:sz w:val="24"/>
              </w:rPr>
              <w:t>及公路安全隐患突出路口路段治理攻坚项目实施方案等相关文件。</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设计内容说明</w:t>
            </w:r>
          </w:p>
          <w:p>
            <w:pPr>
              <w:pStyle w:val="null3"/>
              <w:ind w:firstLine="480"/>
              <w:jc w:val="both"/>
            </w:pPr>
            <w:r>
              <w:rPr>
                <w:rFonts w:ascii="仿宋_GB2312" w:hAnsi="仿宋_GB2312" w:cs="仿宋_GB2312" w:eastAsia="仿宋_GB2312"/>
                <w:sz w:val="24"/>
              </w:rPr>
              <w:t>农村地区</w:t>
            </w:r>
            <w:r>
              <w:rPr>
                <w:rFonts w:ascii="仿宋_GB2312" w:hAnsi="仿宋_GB2312" w:cs="仿宋_GB2312" w:eastAsia="仿宋_GB2312"/>
                <w:sz w:val="24"/>
              </w:rPr>
              <w:t>公路</w:t>
            </w:r>
            <w:r>
              <w:rPr>
                <w:rFonts w:ascii="仿宋_GB2312" w:hAnsi="仿宋_GB2312" w:cs="仿宋_GB2312" w:eastAsia="仿宋_GB2312"/>
                <w:sz w:val="24"/>
              </w:rPr>
              <w:t>中</w:t>
            </w:r>
            <w:r>
              <w:rPr>
                <w:rFonts w:ascii="仿宋_GB2312" w:hAnsi="仿宋_GB2312" w:cs="仿宋_GB2312" w:eastAsia="仿宋_GB2312"/>
                <w:sz w:val="24"/>
              </w:rPr>
              <w:t>12</w:t>
            </w:r>
            <w:r>
              <w:rPr>
                <w:rFonts w:ascii="仿宋_GB2312" w:hAnsi="仿宋_GB2312" w:cs="仿宋_GB2312" w:eastAsia="仿宋_GB2312"/>
                <w:sz w:val="24"/>
              </w:rPr>
              <w:t>米宽的二级公路占比较高，故本方案以该横断面作为</w:t>
            </w:r>
            <w:r>
              <w:rPr>
                <w:rFonts w:ascii="仿宋_GB2312" w:hAnsi="仿宋_GB2312" w:cs="仿宋_GB2312" w:eastAsia="仿宋_GB2312"/>
                <w:sz w:val="24"/>
              </w:rPr>
              <w:t>典型横断面</w:t>
            </w:r>
            <w:r>
              <w:rPr>
                <w:rFonts w:ascii="仿宋_GB2312" w:hAnsi="仿宋_GB2312" w:cs="仿宋_GB2312" w:eastAsia="仿宋_GB2312"/>
                <w:sz w:val="24"/>
              </w:rPr>
              <w:t>进行设计，改造后横断组成包括非机动车道、车行道、中央分隔设施</w:t>
            </w:r>
            <w:r>
              <w:rPr>
                <w:rFonts w:ascii="仿宋_GB2312" w:hAnsi="仿宋_GB2312" w:cs="仿宋_GB2312" w:eastAsia="仿宋_GB2312"/>
                <w:sz w:val="24"/>
              </w:rPr>
              <w:t>等</w:t>
            </w:r>
            <w:r>
              <w:rPr>
                <w:rFonts w:ascii="仿宋_GB2312" w:hAnsi="仿宋_GB2312" w:cs="仿宋_GB2312" w:eastAsia="仿宋_GB2312"/>
                <w:sz w:val="24"/>
              </w:rPr>
              <w:t>。在不拓宽道路的情况下，非机动车道与行车道之间采用标线分隔。拓宽道路属于工程改造，本方案</w:t>
            </w:r>
            <w:r>
              <w:rPr>
                <w:rFonts w:ascii="仿宋_GB2312" w:hAnsi="仿宋_GB2312" w:cs="仿宋_GB2312" w:eastAsia="仿宋_GB2312"/>
                <w:sz w:val="24"/>
              </w:rPr>
              <w:t>不涉及，因此</w:t>
            </w:r>
            <w:r>
              <w:rPr>
                <w:rFonts w:ascii="仿宋_GB2312" w:hAnsi="仿宋_GB2312" w:cs="仿宋_GB2312" w:eastAsia="仿宋_GB2312"/>
                <w:sz w:val="24"/>
              </w:rPr>
              <w:t>不再详细介绍。其他等级或宽度道路可参照本方案改造。</w:t>
            </w:r>
            <w:r>
              <w:drawing>
                <wp:inline distT="0" distR="0" distB="0" distL="0">
                  <wp:extent cx="1621155" cy="102562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025628"/>
                          </a:xfrm>
                          <a:prstGeom prst="rect">
                            <a:avLst/>
                          </a:prstGeom>
                        </pic:spPr>
                      </pic:pic>
                    </a:graphicData>
                  </a:graphic>
                </wp:inline>
              </w:drawing>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4"/>
              </w:rPr>
              <w:t>图</w:t>
            </w:r>
            <w:r>
              <w:rPr>
                <w:rFonts w:ascii="仿宋_GB2312" w:hAnsi="仿宋_GB2312" w:cs="仿宋_GB2312" w:eastAsia="仿宋_GB2312"/>
                <w:sz w:val="24"/>
              </w:rPr>
              <w:t>2</w:t>
            </w:r>
            <w:r>
              <w:rPr>
                <w:rFonts w:ascii="仿宋_GB2312" w:hAnsi="仿宋_GB2312" w:cs="仿宋_GB2312" w:eastAsia="仿宋_GB2312"/>
                <w:sz w:val="24"/>
              </w:rPr>
              <w:t xml:space="preserve">.1 </w:t>
            </w:r>
            <w:r>
              <w:rPr>
                <w:rFonts w:ascii="仿宋_GB2312" w:hAnsi="仿宋_GB2312" w:cs="仿宋_GB2312" w:eastAsia="仿宋_GB2312"/>
                <w:sz w:val="24"/>
              </w:rPr>
              <w:t>农村地区国省道典型横断面</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 xml:space="preserve">.1 </w:t>
            </w:r>
            <w:r>
              <w:rPr>
                <w:rFonts w:ascii="仿宋_GB2312" w:hAnsi="仿宋_GB2312" w:cs="仿宋_GB2312" w:eastAsia="仿宋_GB2312"/>
                <w:sz w:val="24"/>
                <w:b/>
              </w:rPr>
              <w:t>主要提升措施</w:t>
            </w:r>
          </w:p>
          <w:p>
            <w:pPr>
              <w:pStyle w:val="null3"/>
              <w:ind w:firstLine="480"/>
              <w:jc w:val="both"/>
            </w:pPr>
            <w:r>
              <w:rPr>
                <w:rFonts w:ascii="仿宋_GB2312" w:hAnsi="仿宋_GB2312" w:cs="仿宋_GB2312" w:eastAsia="仿宋_GB2312"/>
                <w:sz w:val="24"/>
              </w:rPr>
              <w:t>农村地区穿村过镇路段交通管理安全设施提升工程措施包括</w:t>
            </w:r>
            <w:r>
              <w:rPr>
                <w:rFonts w:ascii="仿宋_GB2312" w:hAnsi="仿宋_GB2312" w:cs="仿宋_GB2312" w:eastAsia="仿宋_GB2312"/>
                <w:sz w:val="24"/>
                <w:b/>
              </w:rPr>
              <w:t>必选项目</w:t>
            </w:r>
            <w:r>
              <w:rPr>
                <w:rFonts w:ascii="仿宋_GB2312" w:hAnsi="仿宋_GB2312" w:cs="仿宋_GB2312" w:eastAsia="仿宋_GB2312"/>
                <w:sz w:val="24"/>
              </w:rPr>
              <w:t>和</w:t>
            </w:r>
            <w:r>
              <w:rPr>
                <w:rFonts w:ascii="仿宋_GB2312" w:hAnsi="仿宋_GB2312" w:cs="仿宋_GB2312" w:eastAsia="仿宋_GB2312"/>
                <w:sz w:val="24"/>
                <w:b/>
              </w:rPr>
              <w:t>可选项目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交通标志、交通标线、中央隔离设施、照明设施、信号灯、监控设施、</w:t>
            </w:r>
            <w:r>
              <w:rPr>
                <w:rFonts w:ascii="仿宋_GB2312" w:hAnsi="仿宋_GB2312" w:cs="仿宋_GB2312" w:eastAsia="仿宋_GB2312"/>
                <w:sz w:val="24"/>
              </w:rPr>
              <w:t>“五必上”安全设施属于必选项目；机非隔离设施、卡口测速、支路**、会车预警科技设备、违停抓拍等属于可选项目。</w:t>
            </w:r>
          </w:p>
          <w:p>
            <w:pPr>
              <w:pStyle w:val="null3"/>
              <w:ind w:firstLine="480"/>
              <w:jc w:val="both"/>
            </w:pPr>
            <w:r>
              <w:rPr>
                <w:rFonts w:ascii="仿宋_GB2312" w:hAnsi="仿宋_GB2312" w:cs="仿宋_GB2312" w:eastAsia="仿宋_GB2312"/>
                <w:sz w:val="24"/>
              </w:rPr>
              <w:t>各交通设施的设置和安装应符合相关国家和行业技术标准和规范。</w:t>
            </w:r>
          </w:p>
          <w:p>
            <w:pPr>
              <w:pStyle w:val="null3"/>
              <w:ind w:firstLine="482"/>
              <w:jc w:val="both"/>
            </w:pPr>
            <w:r>
              <w:rPr>
                <w:rFonts w:ascii="仿宋_GB2312" w:hAnsi="仿宋_GB2312" w:cs="仿宋_GB2312" w:eastAsia="仿宋_GB2312"/>
                <w:sz w:val="24"/>
                <w:b/>
              </w:rPr>
              <w:t>（一）必选项目</w:t>
            </w:r>
          </w:p>
          <w:p>
            <w:pPr>
              <w:pStyle w:val="null3"/>
              <w:ind w:firstLine="480"/>
              <w:jc w:val="both"/>
            </w:pPr>
            <w:r>
              <w:rPr>
                <w:rFonts w:ascii="仿宋_GB2312" w:hAnsi="仿宋_GB2312" w:cs="仿宋_GB2312" w:eastAsia="仿宋_GB2312"/>
                <w:sz w:val="24"/>
              </w:rPr>
              <w:t>必选项目为改造过程中必须完善的措施，应根据国省干线穿村过镇路段现场情况勘探、安全隐患排查、道路交通事故分析和研判，选用合适的交通设施用于交通管理安全设施提升改造，</w:t>
            </w:r>
            <w:r>
              <w:rPr>
                <w:rFonts w:ascii="仿宋_GB2312" w:hAnsi="仿宋_GB2312" w:cs="仿宋_GB2312" w:eastAsia="仿宋_GB2312"/>
                <w:sz w:val="24"/>
              </w:rPr>
              <w:t>如表</w:t>
            </w:r>
            <w:r>
              <w:rPr>
                <w:rFonts w:ascii="仿宋_GB2312" w:hAnsi="仿宋_GB2312" w:cs="仿宋_GB2312" w:eastAsia="仿宋_GB2312"/>
                <w:sz w:val="24"/>
              </w:rPr>
              <w:t>2.1</w:t>
            </w:r>
            <w:r>
              <w:rPr>
                <w:rFonts w:ascii="仿宋_GB2312" w:hAnsi="仿宋_GB2312" w:cs="仿宋_GB2312" w:eastAsia="仿宋_GB2312"/>
                <w:sz w:val="24"/>
              </w:rPr>
              <w:t>所示。</w:t>
            </w:r>
          </w:p>
          <w:p>
            <w:pPr>
              <w:pStyle w:val="null3"/>
              <w:jc w:val="center"/>
            </w:pPr>
            <w:r>
              <w:rPr>
                <w:rFonts w:ascii="仿宋_GB2312" w:hAnsi="仿宋_GB2312" w:cs="仿宋_GB2312" w:eastAsia="仿宋_GB2312"/>
                <w:sz w:val="24"/>
                <w:b/>
              </w:rPr>
              <w:t>表</w:t>
            </w:r>
            <w:r>
              <w:rPr>
                <w:rFonts w:ascii="仿宋_GB2312" w:hAnsi="仿宋_GB2312" w:cs="仿宋_GB2312" w:eastAsia="仿宋_GB2312"/>
                <w:sz w:val="24"/>
                <w:b/>
              </w:rPr>
              <w:t xml:space="preserve">2.1 </w:t>
            </w:r>
            <w:r>
              <w:rPr>
                <w:rFonts w:ascii="仿宋_GB2312" w:hAnsi="仿宋_GB2312" w:cs="仿宋_GB2312" w:eastAsia="仿宋_GB2312"/>
                <w:sz w:val="24"/>
                <w:b/>
              </w:rPr>
              <w:t>穿村过镇路段交通管理安全设施提升必选项目</w:t>
            </w:r>
          </w:p>
          <w:tbl>
            <w:tblPr>
              <w:tblInd w:type="dxa" w:w="120"/>
              <w:tblBorders>
                <w:top w:val="none" w:color="000000" w:sz="4"/>
                <w:left w:val="none" w:color="000000" w:sz="4"/>
                <w:bottom w:val="none" w:color="000000" w:sz="4"/>
                <w:right w:val="none" w:color="000000" w:sz="4"/>
                <w:insideH w:val="none"/>
                <w:insideV w:val="none"/>
              </w:tblBorders>
            </w:tblPr>
            <w:tblGrid>
              <w:gridCol w:w="260"/>
              <w:gridCol w:w="389"/>
              <w:gridCol w:w="611"/>
              <w:gridCol w:w="1293"/>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作用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交通标志</w:t>
                  </w:r>
                </w:p>
                <w:p>
                  <w:pPr>
                    <w:pStyle w:val="null3"/>
                    <w:jc w:val="center"/>
                  </w:pPr>
                  <w:r>
                    <w:rPr>
                      <w:rFonts w:ascii="仿宋_GB2312" w:hAnsi="仿宋_GB2312" w:cs="仿宋_GB2312" w:eastAsia="仿宋_GB2312"/>
                      <w:sz w:val="21"/>
                    </w:rPr>
                    <w:t>（主路）</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限速标志与解除限速标志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禁令标志，用于限制车辆最高车速，保证路段内车辆安全行驶车速，限速路段结束后相应的设置解除限速标志。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穿村过镇标志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禁令</w:t>
                  </w:r>
                  <w:r>
                    <w:rPr>
                      <w:rFonts w:ascii="仿宋_GB2312" w:hAnsi="仿宋_GB2312" w:cs="仿宋_GB2312" w:eastAsia="仿宋_GB2312"/>
                      <w:sz w:val="21"/>
                    </w:rPr>
                    <w:t>+</w:t>
                  </w:r>
                  <w:r>
                    <w:rPr>
                      <w:rFonts w:ascii="仿宋_GB2312" w:hAnsi="仿宋_GB2312" w:cs="仿宋_GB2312" w:eastAsia="仿宋_GB2312"/>
                      <w:sz w:val="21"/>
                    </w:rPr>
                    <w:t>指示组合标志，用于提醒车辆驾驶人谨慎驾驶，注意前方为穿村过镇路段。</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人行横道标志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指示标志，用于指示驾驶人标志位置附近为人行横道，需注意减速让行。</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注意行人标志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警告标志，用于警告驾驶人前方有行人通过，需提前减速。</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禁止停车标志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禁令标志，根据路段路侧条件，设置禁止停车标志，禁止占用车道，保证车辆通行安全。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交叉口标志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警告标志，用于警告驾驶人前方为交叉口提前减速，谨慎驾驶。</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交通标线</w:t>
                  </w:r>
                </w:p>
                <w:p>
                  <w:pPr>
                    <w:pStyle w:val="null3"/>
                    <w:jc w:val="center"/>
                  </w:pPr>
                  <w:r>
                    <w:rPr>
                      <w:rFonts w:ascii="仿宋_GB2312" w:hAnsi="仿宋_GB2312" w:cs="仿宋_GB2312" w:eastAsia="仿宋_GB2312"/>
                      <w:sz w:val="21"/>
                    </w:rPr>
                    <w:t>（主路）</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道路中心线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用于分隔对向车流，在村镇外设置道路中心线。</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车道边缘线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用于划分机动车道与非机动车道的分界，也可称作机非分界线，不得侵入车行道内。</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横向振动减速标线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车辆通过时引起车辆振动，用以提醒驾驶人减速慢行。</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人行横道线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即斑马线，标示一定条件下准许行人横穿道路的路径，又警示机动车驾驶人注意行人及非机动车过街。无信号灯路口包括</w:t>
                  </w:r>
                  <w:r>
                    <w:rPr>
                      <w:rFonts w:ascii="仿宋_GB2312" w:hAnsi="仿宋_GB2312" w:cs="仿宋_GB2312" w:eastAsia="仿宋_GB2312"/>
                      <w:sz w:val="21"/>
                    </w:rPr>
                    <w:t>“车让人”标线。</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人行横道预告标识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设置于人行横道线前，用于提醒驾驶人注意前方为人行横道，注意行人。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导向箭头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用以指示车辆行驶方向。</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中央隔离设施</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中央分隔栏杆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用于隔离对向车流，防止行人横穿道路，在穿村过镇路段范围内设置。</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不锈钢阻车柱</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用于禁止或限制车辆进入特定区域，如人行道、学校门口等，保障行人安全。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照明设施</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太阳能路灯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用于照亮道路、人行道等公共区域，解决夜间光线不足问题，减少交通事故、盗窃等安全隐患，让行人、车辆通行更稳妥。</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信号灯</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用于规范不同方向、不同类型交通参与者（机动车、非机动车、行人）的通行权，保障交叉口通行安全、提升通行效率、优化交通秩序。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监控设施</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电子警察</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主要用来监测违停、压线、逆行、闯红灯、随意变道、接打电话等违章行为。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389"/>
                  <w:vMerge/>
                  <w:tcBorders>
                    <w:top w:val="none" w:color="000000" w:sz="4"/>
                    <w:left w:val="single" w:color="000000" w:sz="4"/>
                    <w:bottom w:val="single" w:color="000000" w:sz="4"/>
                    <w:right w:val="single" w:color="000000" w:sz="4"/>
                  </w:tcBorders>
                </w:tc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视频监控</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用于交通环境监测和交通事件取证。</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9</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“五必上”安全设施</w:t>
                  </w:r>
                </w:p>
                <w:p>
                  <w:pPr>
                    <w:pStyle w:val="null3"/>
                    <w:jc w:val="center"/>
                  </w:pPr>
                  <w:r>
                    <w:rPr>
                      <w:rFonts w:ascii="仿宋_GB2312" w:hAnsi="仿宋_GB2312" w:cs="仿宋_GB2312" w:eastAsia="仿宋_GB2312"/>
                      <w:sz w:val="21"/>
                    </w:rPr>
                    <w:t>（支路）</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标志、标线、减速丘、道口标柱、太阳能爆闪灯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标志包括停车让行标志、减速丘警告标志，标线为停车让行标线。完善</w:t>
                  </w:r>
                  <w:r>
                    <w:rPr>
                      <w:rFonts w:ascii="仿宋_GB2312" w:hAnsi="仿宋_GB2312" w:cs="仿宋_GB2312" w:eastAsia="仿宋_GB2312"/>
                      <w:sz w:val="21"/>
                    </w:rPr>
                    <w:t>“五必上”设施，可明确非灯控路口的道路优先通行权，保证交叉口车辆通行安全。</w:t>
                  </w:r>
                </w:p>
              </w:tc>
            </w:tr>
          </w:tbl>
          <w:p>
            <w:pPr>
              <w:pStyle w:val="null3"/>
              <w:jc w:val="both"/>
            </w:pPr>
            <w:r>
              <w:rPr>
                <w:rFonts w:ascii="仿宋_GB2312" w:hAnsi="仿宋_GB2312" w:cs="仿宋_GB2312" w:eastAsia="仿宋_GB2312"/>
                <w:sz w:val="24"/>
                <w:b/>
              </w:rPr>
              <w:t>（二）可选项目</w:t>
            </w:r>
          </w:p>
          <w:p>
            <w:pPr>
              <w:pStyle w:val="null3"/>
              <w:ind w:firstLine="480"/>
              <w:jc w:val="both"/>
            </w:pPr>
            <w:r>
              <w:rPr>
                <w:rFonts w:ascii="仿宋_GB2312" w:hAnsi="仿宋_GB2312" w:cs="仿宋_GB2312" w:eastAsia="仿宋_GB2312"/>
                <w:sz w:val="24"/>
              </w:rPr>
              <w:t>可选项目为改造过程中根据道路实际情况可以完善的措施，适用条件分别如下：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）机非隔离设施</w:t>
            </w:r>
          </w:p>
          <w:p>
            <w:pPr>
              <w:pStyle w:val="null3"/>
              <w:ind w:firstLine="480"/>
              <w:jc w:val="both"/>
            </w:pPr>
            <w:r>
              <w:rPr>
                <w:rFonts w:ascii="仿宋_GB2312" w:hAnsi="仿宋_GB2312" w:cs="仿宋_GB2312" w:eastAsia="仿宋_GB2312"/>
                <w:sz w:val="24"/>
              </w:rPr>
              <w:t>分隔机动车与非机动车，根据非机动车道宽度设置。对于路面宽度不足，无法设置机非隔离设施的路段，在有条件的情况下进行工程改造、拓宽路面，满足设置非机动车道及机非隔离设施的路面宽度时设置。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）卡口测速</w:t>
            </w:r>
            <w:r>
              <w:rPr>
                <w:rFonts w:ascii="仿宋_GB2312" w:hAnsi="仿宋_GB2312" w:cs="仿宋_GB2312" w:eastAsia="仿宋_GB2312"/>
                <w:sz w:val="24"/>
              </w:rPr>
              <w:t>/</w:t>
            </w:r>
            <w:r>
              <w:rPr>
                <w:rFonts w:ascii="仿宋_GB2312" w:hAnsi="仿宋_GB2312" w:cs="仿宋_GB2312" w:eastAsia="仿宋_GB2312"/>
                <w:sz w:val="24"/>
              </w:rPr>
              <w:t>区间测速</w:t>
            </w:r>
          </w:p>
          <w:p>
            <w:pPr>
              <w:pStyle w:val="null3"/>
              <w:ind w:firstLine="480"/>
              <w:jc w:val="both"/>
            </w:pPr>
            <w:r>
              <w:rPr>
                <w:rFonts w:ascii="仿宋_GB2312" w:hAnsi="仿宋_GB2312" w:cs="仿宋_GB2312" w:eastAsia="仿宋_GB2312"/>
                <w:sz w:val="24"/>
              </w:rPr>
              <w:t>设置于穿村过镇超速现象多发路段前，精准采集车辆速度与身份信息，实现超速执法取证、重点车辆管控、交通流监测及事故预防，保障路网安全与通行秩序。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）支路</w:t>
            </w:r>
            <w:r>
              <w:rPr>
                <w:rFonts w:ascii="仿宋_GB2312" w:hAnsi="仿宋_GB2312" w:cs="仿宋_GB2312" w:eastAsia="仿宋_GB2312"/>
                <w:sz w:val="24"/>
              </w:rPr>
              <w:t>**</w:t>
            </w:r>
            <w:r>
              <w:rPr>
                <w:rFonts w:ascii="仿宋_GB2312" w:hAnsi="仿宋_GB2312" w:cs="仿宋_GB2312" w:eastAsia="仿宋_GB2312"/>
                <w:sz w:val="24"/>
              </w:rPr>
              <w:t>、会车预警系统</w:t>
            </w:r>
          </w:p>
          <w:p>
            <w:pPr>
              <w:pStyle w:val="null3"/>
              <w:ind w:firstLine="480"/>
              <w:jc w:val="both"/>
            </w:pPr>
            <w:r>
              <w:rPr>
                <w:rFonts w:ascii="仿宋_GB2312" w:hAnsi="仿宋_GB2312" w:cs="仿宋_GB2312" w:eastAsia="仿宋_GB2312"/>
                <w:sz w:val="24"/>
              </w:rPr>
              <w:t>支路</w:t>
            </w:r>
            <w:r>
              <w:rPr>
                <w:rFonts w:ascii="仿宋_GB2312" w:hAnsi="仿宋_GB2312" w:cs="仿宋_GB2312" w:eastAsia="仿宋_GB2312"/>
                <w:sz w:val="24"/>
              </w:rPr>
              <w:t>**</w:t>
            </w:r>
            <w:r>
              <w:rPr>
                <w:rFonts w:ascii="仿宋_GB2312" w:hAnsi="仿宋_GB2312" w:cs="仿宋_GB2312" w:eastAsia="仿宋_GB2312"/>
                <w:sz w:val="24"/>
              </w:rPr>
              <w:t>常设置于交叉口处，用于识别主路来车，提醒支路过往车辆及行人。</w:t>
            </w:r>
          </w:p>
          <w:p>
            <w:pPr>
              <w:pStyle w:val="null3"/>
              <w:ind w:firstLine="480"/>
              <w:jc w:val="both"/>
            </w:pPr>
            <w:r>
              <w:rPr>
                <w:rFonts w:ascii="仿宋_GB2312" w:hAnsi="仿宋_GB2312" w:cs="仿宋_GB2312" w:eastAsia="仿宋_GB2312"/>
                <w:sz w:val="24"/>
              </w:rPr>
              <w:t>会车预警常设置于弯道路段，当车辆行至弯道，距离设备</w:t>
            </w:r>
            <w:r>
              <w:rPr>
                <w:rFonts w:ascii="仿宋_GB2312" w:hAnsi="仿宋_GB2312" w:cs="仿宋_GB2312" w:eastAsia="仿宋_GB2312"/>
                <w:sz w:val="24"/>
              </w:rPr>
              <w:t>100~150</w:t>
            </w:r>
            <w:r>
              <w:rPr>
                <w:rFonts w:ascii="仿宋_GB2312" w:hAnsi="仿宋_GB2312" w:cs="仿宋_GB2312" w:eastAsia="仿宋_GB2312"/>
                <w:sz w:val="24"/>
              </w:rPr>
              <w:t>米处，如果弯道对向无来车，弯道预警设备会向车辆发出绿色提示信息：</w:t>
            </w:r>
            <w:r>
              <w:rPr>
                <w:rFonts w:ascii="仿宋_GB2312" w:hAnsi="仿宋_GB2312" w:cs="仿宋_GB2312" w:eastAsia="仿宋_GB2312"/>
                <w:sz w:val="24"/>
              </w:rPr>
              <w:t>“</w:t>
            </w:r>
            <w:r>
              <w:rPr>
                <w:rFonts w:ascii="仿宋_GB2312" w:hAnsi="仿宋_GB2312" w:cs="仿宋_GB2312" w:eastAsia="仿宋_GB2312"/>
                <w:sz w:val="24"/>
              </w:rPr>
              <w:t>前方弯道，减速慢行</w:t>
            </w:r>
            <w:r>
              <w:rPr>
                <w:rFonts w:ascii="仿宋_GB2312" w:hAnsi="仿宋_GB2312" w:cs="仿宋_GB2312" w:eastAsia="仿宋_GB2312"/>
                <w:sz w:val="24"/>
              </w:rPr>
              <w:t>”</w:t>
            </w:r>
            <w:r>
              <w:rPr>
                <w:rFonts w:ascii="仿宋_GB2312" w:hAnsi="仿宋_GB2312" w:cs="仿宋_GB2312" w:eastAsia="仿宋_GB2312"/>
                <w:sz w:val="24"/>
              </w:rPr>
              <w:t>，并启动红蓝爆闪灯同时对行驶车辆进行超速警示。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）雷视一体机</w:t>
            </w:r>
          </w:p>
          <w:p>
            <w:pPr>
              <w:pStyle w:val="null3"/>
              <w:ind w:firstLine="480"/>
              <w:jc w:val="both"/>
            </w:pPr>
            <w:r>
              <w:rPr>
                <w:rFonts w:ascii="仿宋_GB2312" w:hAnsi="仿宋_GB2312" w:cs="仿宋_GB2312" w:eastAsia="仿宋_GB2312"/>
                <w:sz w:val="24"/>
              </w:rPr>
              <w:t>安装于信号灯的悬臂上或立柱式信号灯的立柱顶部，与行车方向对向安装。用于人、车等目标位置跟踪检测，</w:t>
            </w:r>
            <w:r>
              <w:rPr>
                <w:rFonts w:ascii="仿宋_GB2312" w:hAnsi="仿宋_GB2312" w:cs="仿宋_GB2312" w:eastAsia="仿宋_GB2312"/>
                <w:sz w:val="24"/>
              </w:rPr>
              <w:t>统计车流量、速度、状态、队列、时距、间距、区域停车数、平均延误</w:t>
            </w:r>
            <w:r>
              <w:rPr>
                <w:rFonts w:ascii="仿宋_GB2312" w:hAnsi="仿宋_GB2312" w:cs="仿宋_GB2312" w:eastAsia="仿宋_GB2312"/>
                <w:sz w:val="24"/>
              </w:rPr>
              <w:t>等</w:t>
            </w:r>
            <w:r>
              <w:rPr>
                <w:rFonts w:ascii="仿宋_GB2312" w:hAnsi="仿宋_GB2312" w:cs="仿宋_GB2312" w:eastAsia="仿宋_GB2312"/>
                <w:sz w:val="24"/>
              </w:rPr>
              <w:t>数据</w:t>
            </w:r>
            <w:r>
              <w:rPr>
                <w:rFonts w:ascii="仿宋_GB2312" w:hAnsi="仿宋_GB2312" w:cs="仿宋_GB2312" w:eastAsia="仿宋_GB2312"/>
                <w:sz w:val="24"/>
              </w:rPr>
              <w:t>，监控交通状态。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雷达测速牌</w:t>
            </w:r>
          </w:p>
          <w:p>
            <w:pPr>
              <w:pStyle w:val="null3"/>
              <w:ind w:firstLine="480"/>
              <w:jc w:val="both"/>
            </w:pPr>
            <w:r>
              <w:rPr>
                <w:rFonts w:ascii="仿宋_GB2312" w:hAnsi="仿宋_GB2312" w:cs="仿宋_GB2312" w:eastAsia="仿宋_GB2312"/>
                <w:sz w:val="24"/>
              </w:rPr>
              <w:t>安装于穿村过镇路段起始位置，通过实时检测车辆行驶速度并现场显示，实现车速提醒、超速警示与交通流引导，辅助规范驾驶行为、预防道路事故。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）违停抓拍</w:t>
            </w:r>
          </w:p>
          <w:p>
            <w:pPr>
              <w:pStyle w:val="null3"/>
              <w:ind w:firstLine="480"/>
              <w:jc w:val="both"/>
            </w:pPr>
            <w:r>
              <w:rPr>
                <w:rFonts w:ascii="仿宋_GB2312" w:hAnsi="仿宋_GB2312" w:cs="仿宋_GB2312" w:eastAsia="仿宋_GB2312"/>
                <w:sz w:val="24"/>
              </w:rPr>
              <w:t>设置于随意违停、长期占道等乱象频发，导致交通拥堵、通行受阻及安全隐患的路段，用于对指定路段的违法停车行为进行全时段自动监测、精准识别与合法取证。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）交通气象监测系统</w:t>
            </w:r>
          </w:p>
          <w:p>
            <w:pPr>
              <w:pStyle w:val="null3"/>
              <w:ind w:firstLine="480"/>
              <w:jc w:val="both"/>
            </w:pPr>
            <w:r>
              <w:rPr>
                <w:rFonts w:ascii="仿宋_GB2312" w:hAnsi="仿宋_GB2312" w:cs="仿宋_GB2312" w:eastAsia="仿宋_GB2312"/>
                <w:sz w:val="24"/>
              </w:rPr>
              <w:t>用于监测路段恶劣天气情况，提醒过往车辆减速慢行或绕道行驶。</w:t>
            </w:r>
            <w:r>
              <w:drawing>
                <wp:inline distT="0" distR="0" distB="0" distL="0">
                  <wp:extent cx="1621155" cy="322056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3220565"/>
                          </a:xfrm>
                          <a:prstGeom prst="rect">
                            <a:avLst/>
                          </a:prstGeom>
                        </pic:spPr>
                      </pic:pic>
                    </a:graphicData>
                  </a:graphic>
                </wp:inline>
              </w:drawing>
            </w:r>
          </w:p>
          <w:p>
            <w:pPr>
              <w:pStyle w:val="null3"/>
              <w:ind w:firstLine="480"/>
              <w:jc w:val="both"/>
            </w:pPr>
            <w:r>
              <w:br/>
            </w:r>
          </w:p>
          <w:p>
            <w:pPr>
              <w:pStyle w:val="null3"/>
              <w:ind w:firstLine="480"/>
              <w:jc w:val="both"/>
            </w:pPr>
            <w:r>
              <w:rPr>
                <w:rFonts w:ascii="仿宋_GB2312" w:hAnsi="仿宋_GB2312" w:cs="仿宋_GB2312" w:eastAsia="仿宋_GB2312"/>
                <w:sz w:val="24"/>
              </w:rPr>
              <w:t>图</w:t>
            </w:r>
            <w:r>
              <w:rPr>
                <w:rFonts w:ascii="仿宋_GB2312" w:hAnsi="仿宋_GB2312" w:cs="仿宋_GB2312" w:eastAsia="仿宋_GB2312"/>
                <w:sz w:val="24"/>
              </w:rPr>
              <w:t>2</w:t>
            </w:r>
            <w:r>
              <w:rPr>
                <w:rFonts w:ascii="仿宋_GB2312" w:hAnsi="仿宋_GB2312" w:cs="仿宋_GB2312" w:eastAsia="仿宋_GB2312"/>
                <w:sz w:val="24"/>
              </w:rPr>
              <w:t xml:space="preserve">.2 </w:t>
            </w:r>
            <w:r>
              <w:rPr>
                <w:rFonts w:ascii="仿宋_GB2312" w:hAnsi="仿宋_GB2312" w:cs="仿宋_GB2312" w:eastAsia="仿宋_GB2312"/>
                <w:sz w:val="24"/>
              </w:rPr>
              <w:t>穿村过镇路段交通管理安全设施提升工程图例</w:t>
            </w:r>
          </w:p>
          <w:p>
            <w:pPr>
              <w:pStyle w:val="null3"/>
              <w:jc w:val="both"/>
            </w:pPr>
            <w:r>
              <w:rPr>
                <w:rFonts w:ascii="仿宋_GB2312" w:hAnsi="仿宋_GB2312" w:cs="仿宋_GB2312" w:eastAsia="仿宋_GB2312"/>
                <w:sz w:val="21"/>
                <w:b/>
              </w:rPr>
              <w:t>图例说明：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）改造</w:t>
            </w:r>
            <w:r>
              <w:rPr>
                <w:rFonts w:ascii="仿宋_GB2312" w:hAnsi="仿宋_GB2312" w:cs="仿宋_GB2312" w:eastAsia="仿宋_GB2312"/>
                <w:sz w:val="21"/>
              </w:rPr>
              <w:t>路段总长</w:t>
            </w:r>
            <w:r>
              <w:rPr>
                <w:rFonts w:ascii="仿宋_GB2312" w:hAnsi="仿宋_GB2312" w:cs="仿宋_GB2312" w:eastAsia="仿宋_GB2312"/>
                <w:sz w:val="21"/>
              </w:rPr>
              <w:t>2</w:t>
            </w:r>
            <w:r>
              <w:rPr>
                <w:rFonts w:ascii="仿宋_GB2312" w:hAnsi="仿宋_GB2312" w:cs="仿宋_GB2312" w:eastAsia="仿宋_GB2312"/>
                <w:sz w:val="21"/>
              </w:rPr>
              <w:t>公里，其中</w:t>
            </w:r>
            <w:r>
              <w:rPr>
                <w:rFonts w:ascii="仿宋_GB2312" w:hAnsi="仿宋_GB2312" w:cs="仿宋_GB2312" w:eastAsia="仿宋_GB2312"/>
                <w:sz w:val="21"/>
              </w:rPr>
              <w:t>穿村过镇</w:t>
            </w:r>
            <w:r>
              <w:rPr>
                <w:rFonts w:ascii="仿宋_GB2312" w:hAnsi="仿宋_GB2312" w:cs="仿宋_GB2312" w:eastAsia="仿宋_GB2312"/>
                <w:sz w:val="21"/>
              </w:rPr>
              <w:t>路段</w:t>
            </w:r>
            <w:r>
              <w:rPr>
                <w:rFonts w:ascii="仿宋_GB2312" w:hAnsi="仿宋_GB2312" w:cs="仿宋_GB2312" w:eastAsia="仿宋_GB2312"/>
                <w:sz w:val="21"/>
              </w:rPr>
              <w:t>1</w:t>
            </w:r>
            <w:r>
              <w:rPr>
                <w:rFonts w:ascii="仿宋_GB2312" w:hAnsi="仿宋_GB2312" w:cs="仿宋_GB2312" w:eastAsia="仿宋_GB2312"/>
                <w:sz w:val="21"/>
              </w:rPr>
              <w:t>公里，村镇</w:t>
            </w:r>
            <w:r>
              <w:rPr>
                <w:rFonts w:ascii="仿宋_GB2312" w:hAnsi="仿宋_GB2312" w:cs="仿宋_GB2312" w:eastAsia="仿宋_GB2312"/>
                <w:sz w:val="21"/>
              </w:rPr>
              <w:t>路段</w:t>
            </w:r>
            <w:r>
              <w:rPr>
                <w:rFonts w:ascii="仿宋_GB2312" w:hAnsi="仿宋_GB2312" w:cs="仿宋_GB2312" w:eastAsia="仿宋_GB2312"/>
                <w:sz w:val="21"/>
              </w:rPr>
              <w:t>前后各延长</w:t>
            </w:r>
            <w:r>
              <w:rPr>
                <w:rFonts w:ascii="仿宋_GB2312" w:hAnsi="仿宋_GB2312" w:cs="仿宋_GB2312" w:eastAsia="仿宋_GB2312"/>
                <w:sz w:val="21"/>
              </w:rPr>
              <w:t>500</w:t>
            </w:r>
            <w:r>
              <w:rPr>
                <w:rFonts w:ascii="仿宋_GB2312" w:hAnsi="仿宋_GB2312" w:cs="仿宋_GB2312" w:eastAsia="仿宋_GB2312"/>
                <w:sz w:val="21"/>
              </w:rPr>
              <w:t>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穿村过镇路段</w:t>
            </w:r>
            <w:r>
              <w:rPr>
                <w:rFonts w:ascii="仿宋_GB2312" w:hAnsi="仿宋_GB2312" w:cs="仿宋_GB2312" w:eastAsia="仿宋_GB2312"/>
                <w:sz w:val="21"/>
              </w:rPr>
              <w:t>安全设施提升工程</w:t>
            </w:r>
            <w:r>
              <w:rPr>
                <w:rFonts w:ascii="仿宋_GB2312" w:hAnsi="仿宋_GB2312" w:cs="仿宋_GB2312" w:eastAsia="仿宋_GB2312"/>
                <w:sz w:val="21"/>
              </w:rPr>
              <w:t>的必选项目包括：</w:t>
            </w:r>
          </w:p>
          <w:p>
            <w:pPr>
              <w:pStyle w:val="null3"/>
              <w:ind w:firstLine="420"/>
              <w:jc w:val="both"/>
            </w:pPr>
            <w:r>
              <w:rPr>
                <w:rFonts w:ascii="仿宋_GB2312" w:hAnsi="仿宋_GB2312" w:cs="仿宋_GB2312" w:eastAsia="仿宋_GB2312"/>
                <w:sz w:val="21"/>
              </w:rPr>
              <w:t>①增设限速标志、穿村过镇标志、人行横道标志、注意行人标志等交通标志；</w:t>
            </w:r>
          </w:p>
          <w:p>
            <w:pPr>
              <w:pStyle w:val="null3"/>
              <w:ind w:firstLine="420"/>
              <w:jc w:val="both"/>
            </w:pPr>
            <w:r>
              <w:rPr>
                <w:rFonts w:ascii="仿宋_GB2312" w:hAnsi="仿宋_GB2312" w:cs="仿宋_GB2312" w:eastAsia="仿宋_GB2312"/>
                <w:sz w:val="21"/>
              </w:rPr>
              <w:t>②增设道路中心线、车道边缘线、横向振动减速标线、人行横道标线、人行横道预告标识、导向箭头等交通标线；</w:t>
            </w:r>
          </w:p>
          <w:p>
            <w:pPr>
              <w:pStyle w:val="null3"/>
              <w:ind w:firstLine="420"/>
              <w:jc w:val="both"/>
            </w:pPr>
            <w:r>
              <w:rPr>
                <w:rFonts w:ascii="仿宋_GB2312" w:hAnsi="仿宋_GB2312" w:cs="仿宋_GB2312" w:eastAsia="仿宋_GB2312"/>
                <w:sz w:val="21"/>
              </w:rPr>
              <w:t>③农村接入路口“五必上”安全设施</w:t>
            </w:r>
            <w:r>
              <w:rPr>
                <w:rFonts w:ascii="仿宋_GB2312" w:hAnsi="仿宋_GB2312" w:cs="仿宋_GB2312" w:eastAsia="仿宋_GB2312"/>
                <w:sz w:val="21"/>
              </w:rPr>
              <w:t>(</w:t>
            </w:r>
            <w:r>
              <w:rPr>
                <w:rFonts w:ascii="仿宋_GB2312" w:hAnsi="仿宋_GB2312" w:cs="仿宋_GB2312" w:eastAsia="仿宋_GB2312"/>
                <w:sz w:val="21"/>
              </w:rPr>
              <w:t>标志、标线、减速丘、道口标柱、</w:t>
            </w:r>
            <w:r>
              <w:rPr>
                <w:rFonts w:ascii="仿宋_GB2312" w:hAnsi="仿宋_GB2312" w:cs="仿宋_GB2312" w:eastAsia="仿宋_GB2312"/>
                <w:sz w:val="21"/>
              </w:rPr>
              <w:t>太阳能</w:t>
            </w:r>
            <w:r>
              <w:rPr>
                <w:rFonts w:ascii="仿宋_GB2312" w:hAnsi="仿宋_GB2312" w:cs="仿宋_GB2312" w:eastAsia="仿宋_GB2312"/>
                <w:sz w:val="21"/>
              </w:rPr>
              <w:t>爆闪灯</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④根据路侧条件增设禁止长时间停车标志；</w:t>
            </w:r>
          </w:p>
          <w:p>
            <w:pPr>
              <w:pStyle w:val="null3"/>
              <w:ind w:firstLine="420"/>
              <w:jc w:val="both"/>
            </w:pPr>
            <w:r>
              <w:rPr>
                <w:rFonts w:ascii="仿宋_GB2312" w:hAnsi="仿宋_GB2312" w:cs="仿宋_GB2312" w:eastAsia="仿宋_GB2312"/>
                <w:sz w:val="21"/>
              </w:rPr>
              <w:t>⑤村镇路段增设照明设施；</w:t>
            </w:r>
          </w:p>
          <w:p>
            <w:pPr>
              <w:pStyle w:val="null3"/>
              <w:ind w:firstLine="420"/>
              <w:jc w:val="both"/>
            </w:pPr>
            <w:r>
              <w:rPr>
                <w:rFonts w:ascii="仿宋_GB2312" w:hAnsi="仿宋_GB2312" w:cs="仿宋_GB2312" w:eastAsia="仿宋_GB2312"/>
                <w:sz w:val="21"/>
              </w:rPr>
              <w:t>⑥道路中心增设中央分隔设施分隔对向车流，只允许行人通行的开口处设置不锈钢阻车柱；</w:t>
            </w:r>
          </w:p>
          <w:p>
            <w:pPr>
              <w:pStyle w:val="null3"/>
              <w:ind w:firstLine="420"/>
              <w:jc w:val="both"/>
            </w:pPr>
            <w:r>
              <w:rPr>
                <w:rFonts w:ascii="仿宋_GB2312" w:hAnsi="仿宋_GB2312" w:cs="仿宋_GB2312" w:eastAsia="仿宋_GB2312"/>
                <w:sz w:val="21"/>
              </w:rPr>
              <w:t>⑦交通量较大、交通秩序混乱的交叉口增设信号灯；</w:t>
            </w:r>
          </w:p>
          <w:p>
            <w:pPr>
              <w:pStyle w:val="null3"/>
              <w:ind w:firstLine="420"/>
              <w:jc w:val="both"/>
            </w:pPr>
            <w:r>
              <w:rPr>
                <w:rFonts w:ascii="仿宋_GB2312" w:hAnsi="仿宋_GB2312" w:cs="仿宋_GB2312" w:eastAsia="仿宋_GB2312"/>
                <w:sz w:val="21"/>
              </w:rPr>
              <w:t>⑧信号灯交叉口或重点路段设置电子警察、视频监控等监控设施</w:t>
            </w:r>
            <w:r>
              <w:rPr>
                <w:rFonts w:ascii="仿宋_GB2312" w:hAnsi="仿宋_GB2312" w:cs="仿宋_GB2312" w:eastAsia="仿宋_GB2312"/>
                <w:sz w:val="21"/>
              </w:rPr>
              <w:t>(</w:t>
            </w:r>
            <w:r>
              <w:rPr>
                <w:rFonts w:ascii="仿宋_GB2312" w:hAnsi="仿宋_GB2312" w:cs="仿宋_GB2312" w:eastAsia="仿宋_GB2312"/>
                <w:sz w:val="21"/>
              </w:rPr>
              <w:t>监测违停、压线、逆行、</w:t>
            </w:r>
            <w:r>
              <w:rPr>
                <w:rFonts w:ascii="仿宋_GB2312" w:hAnsi="仿宋_GB2312" w:cs="仿宋_GB2312" w:eastAsia="仿宋_GB2312"/>
                <w:sz w:val="21"/>
              </w:rPr>
              <w:t>闯红灯</w:t>
            </w:r>
            <w:r>
              <w:rPr>
                <w:rFonts w:ascii="仿宋_GB2312" w:hAnsi="仿宋_GB2312" w:cs="仿宋_GB2312" w:eastAsia="仿宋_GB2312"/>
                <w:sz w:val="21"/>
              </w:rPr>
              <w:t>、随意</w:t>
            </w:r>
            <w:r>
              <w:rPr>
                <w:rFonts w:ascii="仿宋_GB2312" w:hAnsi="仿宋_GB2312" w:cs="仿宋_GB2312" w:eastAsia="仿宋_GB2312"/>
                <w:sz w:val="21"/>
              </w:rPr>
              <w:t>变道、接打电话等交通违法行为</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穿村过镇路段治理的可选项目包括：</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工程改造拓宽路面后设置机非隔离设施：</w:t>
            </w:r>
          </w:p>
          <w:p>
            <w:pPr>
              <w:pStyle w:val="null3"/>
              <w:ind w:firstLine="420"/>
              <w:jc w:val="both"/>
            </w:pPr>
            <w:r>
              <w:rPr>
                <w:rFonts w:ascii="仿宋_GB2312" w:hAnsi="仿宋_GB2312" w:cs="仿宋_GB2312" w:eastAsia="仿宋_GB2312"/>
                <w:sz w:val="21"/>
              </w:rPr>
              <w:t>②超速多发路段设置卡口</w:t>
            </w:r>
            <w:r>
              <w:rPr>
                <w:rFonts w:ascii="仿宋_GB2312" w:hAnsi="仿宋_GB2312" w:cs="仿宋_GB2312" w:eastAsia="仿宋_GB2312"/>
                <w:sz w:val="21"/>
              </w:rPr>
              <w:t>/</w:t>
            </w:r>
            <w:r>
              <w:rPr>
                <w:rFonts w:ascii="仿宋_GB2312" w:hAnsi="仿宋_GB2312" w:cs="仿宋_GB2312" w:eastAsia="仿宋_GB2312"/>
                <w:sz w:val="21"/>
              </w:rPr>
              <w:t>区间测速；</w:t>
            </w:r>
          </w:p>
          <w:p>
            <w:pPr>
              <w:pStyle w:val="null3"/>
              <w:ind w:firstLine="420"/>
              <w:jc w:val="both"/>
            </w:pPr>
            <w:r>
              <w:rPr>
                <w:rFonts w:ascii="仿宋_GB2312" w:hAnsi="仿宋_GB2312" w:cs="仿宋_GB2312" w:eastAsia="仿宋_GB2312"/>
                <w:sz w:val="21"/>
              </w:rPr>
              <w:t>③支路</w:t>
            </w:r>
            <w:r>
              <w:rPr>
                <w:rFonts w:ascii="仿宋_GB2312" w:hAnsi="仿宋_GB2312" w:cs="仿宋_GB2312" w:eastAsia="仿宋_GB2312"/>
                <w:sz w:val="24"/>
              </w:rPr>
              <w:t>**</w:t>
            </w:r>
            <w:r>
              <w:rPr>
                <w:rFonts w:ascii="仿宋_GB2312" w:hAnsi="仿宋_GB2312" w:cs="仿宋_GB2312" w:eastAsia="仿宋_GB2312"/>
                <w:sz w:val="21"/>
              </w:rPr>
              <w:t>、会车预警系统；</w:t>
            </w:r>
          </w:p>
          <w:p>
            <w:pPr>
              <w:pStyle w:val="null3"/>
              <w:ind w:firstLine="420"/>
              <w:jc w:val="both"/>
            </w:pPr>
            <w:r>
              <w:rPr>
                <w:rFonts w:ascii="仿宋_GB2312" w:hAnsi="仿宋_GB2312" w:cs="仿宋_GB2312" w:eastAsia="仿宋_GB2312"/>
                <w:sz w:val="21"/>
              </w:rPr>
              <w:t>④雷视一体机；</w:t>
            </w:r>
          </w:p>
          <w:p>
            <w:pPr>
              <w:pStyle w:val="null3"/>
              <w:ind w:firstLine="420"/>
              <w:jc w:val="both"/>
            </w:pPr>
            <w:r>
              <w:rPr>
                <w:rFonts w:ascii="仿宋_GB2312" w:hAnsi="仿宋_GB2312" w:cs="仿宋_GB2312" w:eastAsia="仿宋_GB2312"/>
                <w:sz w:val="21"/>
              </w:rPr>
              <w:t>⑤雷达测速牌；</w:t>
            </w:r>
          </w:p>
          <w:p>
            <w:pPr>
              <w:pStyle w:val="null3"/>
              <w:ind w:firstLine="420"/>
              <w:jc w:val="both"/>
            </w:pPr>
            <w:r>
              <w:rPr>
                <w:rFonts w:ascii="仿宋_GB2312" w:hAnsi="仿宋_GB2312" w:cs="仿宋_GB2312" w:eastAsia="仿宋_GB2312"/>
                <w:sz w:val="21"/>
              </w:rPr>
              <w:t>⑥违停抓拍；</w:t>
            </w:r>
          </w:p>
          <w:p>
            <w:pPr>
              <w:pStyle w:val="null3"/>
              <w:ind w:firstLine="420"/>
              <w:jc w:val="both"/>
            </w:pPr>
            <w:r>
              <w:rPr>
                <w:rFonts w:ascii="仿宋_GB2312" w:hAnsi="仿宋_GB2312" w:cs="仿宋_GB2312" w:eastAsia="仿宋_GB2312"/>
                <w:sz w:val="21"/>
              </w:rPr>
              <w:t>⑦交通气象监测系统。</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 xml:space="preserve">.2 </w:t>
            </w:r>
            <w:r>
              <w:rPr>
                <w:rFonts w:ascii="仿宋_GB2312" w:hAnsi="仿宋_GB2312" w:cs="仿宋_GB2312" w:eastAsia="仿宋_GB2312"/>
                <w:sz w:val="24"/>
                <w:b/>
              </w:rPr>
              <w:t>穿村过镇路段</w:t>
            </w:r>
            <w:r>
              <w:rPr>
                <w:rFonts w:ascii="仿宋_GB2312" w:hAnsi="仿宋_GB2312" w:cs="仿宋_GB2312" w:eastAsia="仿宋_GB2312"/>
                <w:sz w:val="24"/>
                <w:b/>
              </w:rPr>
              <w:t>交通管理安全设施提升工程</w:t>
            </w:r>
            <w:r>
              <w:rPr>
                <w:rFonts w:ascii="仿宋_GB2312" w:hAnsi="仿宋_GB2312" w:cs="仿宋_GB2312" w:eastAsia="仿宋_GB2312"/>
                <w:sz w:val="24"/>
                <w:b/>
              </w:rPr>
              <w:t>施工图编制</w:t>
            </w:r>
          </w:p>
          <w:p>
            <w:pPr>
              <w:pStyle w:val="null3"/>
              <w:ind w:firstLine="480"/>
              <w:jc w:val="both"/>
            </w:pPr>
            <w:r>
              <w:rPr>
                <w:rFonts w:ascii="仿宋_GB2312" w:hAnsi="仿宋_GB2312" w:cs="仿宋_GB2312" w:eastAsia="仿宋_GB2312"/>
                <w:sz w:val="24"/>
              </w:rPr>
              <w:t>穿村过镇路段交通管理安全设施提升工程施工图拟以区县为册进行编制，共</w:t>
            </w:r>
            <w:r>
              <w:rPr>
                <w:rFonts w:ascii="仿宋_GB2312" w:hAnsi="仿宋_GB2312" w:cs="仿宋_GB2312" w:eastAsia="仿宋_GB2312"/>
                <w:sz w:val="24"/>
              </w:rPr>
              <w:t>15</w:t>
            </w:r>
            <w:r>
              <w:rPr>
                <w:rFonts w:ascii="仿宋_GB2312" w:hAnsi="仿宋_GB2312" w:cs="仿宋_GB2312" w:eastAsia="仿宋_GB2312"/>
                <w:sz w:val="24"/>
              </w:rPr>
              <w:t>册，单个路段详细设计图纸清单如表</w:t>
            </w:r>
            <w:r>
              <w:rPr>
                <w:rFonts w:ascii="仿宋_GB2312" w:hAnsi="仿宋_GB2312" w:cs="仿宋_GB2312" w:eastAsia="仿宋_GB2312"/>
                <w:sz w:val="24"/>
              </w:rPr>
              <w:t>2.2</w:t>
            </w:r>
            <w:r>
              <w:rPr>
                <w:rFonts w:ascii="仿宋_GB2312" w:hAnsi="仿宋_GB2312" w:cs="仿宋_GB2312" w:eastAsia="仿宋_GB2312"/>
                <w:sz w:val="24"/>
              </w:rPr>
              <w:t>所示，根据实际情况有所调整。</w:t>
            </w:r>
          </w:p>
          <w:p>
            <w:pPr>
              <w:pStyle w:val="null3"/>
              <w:ind w:firstLine="482"/>
              <w:jc w:val="both"/>
            </w:pPr>
            <w:r>
              <w:rPr>
                <w:rFonts w:ascii="仿宋_GB2312" w:hAnsi="仿宋_GB2312" w:cs="仿宋_GB2312" w:eastAsia="仿宋_GB2312"/>
                <w:sz w:val="24"/>
                <w:b/>
              </w:rPr>
              <w:t>表</w:t>
            </w:r>
            <w:r>
              <w:rPr>
                <w:rFonts w:ascii="仿宋_GB2312" w:hAnsi="仿宋_GB2312" w:cs="仿宋_GB2312" w:eastAsia="仿宋_GB2312"/>
                <w:sz w:val="24"/>
                <w:b/>
              </w:rPr>
              <w:t>2</w:t>
            </w:r>
            <w:r>
              <w:rPr>
                <w:rFonts w:ascii="仿宋_GB2312" w:hAnsi="仿宋_GB2312" w:cs="仿宋_GB2312" w:eastAsia="仿宋_GB2312"/>
                <w:sz w:val="24"/>
                <w:b/>
              </w:rPr>
              <w:t xml:space="preserve">.2 </w:t>
            </w:r>
            <w:r>
              <w:rPr>
                <w:rFonts w:ascii="仿宋_GB2312" w:hAnsi="仿宋_GB2312" w:cs="仿宋_GB2312" w:eastAsia="仿宋_GB2312"/>
                <w:sz w:val="24"/>
                <w:b/>
              </w:rPr>
              <w:t>单个穿村过镇路段交通管理安全设施提升工程施工图纸清单</w:t>
            </w:r>
          </w:p>
          <w:tbl>
            <w:tblPr>
              <w:tblInd w:type="dxa" w:w="120"/>
              <w:tblBorders>
                <w:top w:val="none" w:color="000000" w:sz="4"/>
                <w:left w:val="none" w:color="000000" w:sz="4"/>
                <w:bottom w:val="none" w:color="000000" w:sz="4"/>
                <w:right w:val="none" w:color="000000" w:sz="4"/>
                <w:insideH w:val="none"/>
                <w:insideV w:val="none"/>
              </w:tblBorders>
            </w:tblPr>
            <w:tblGrid>
              <w:gridCol w:w="275"/>
              <w:gridCol w:w="462"/>
              <w:gridCol w:w="511"/>
              <w:gridCol w:w="1298"/>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图纸名称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穿村过镇路段现状总平面布置图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采用无人机航拍图，标注交叉路口、重要建筑物、学校、事故多发点等内容，以及现有标志、红绿灯、爆闪灯等安全设施，以全面掌握现状道路的路况及安全设施布置情况。</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穿村过镇路段</w:t>
                  </w:r>
                  <w:r>
                    <w:rPr>
                      <w:rFonts w:ascii="仿宋_GB2312" w:hAnsi="仿宋_GB2312" w:cs="仿宋_GB2312" w:eastAsia="仿宋_GB2312"/>
                      <w:sz w:val="21"/>
                    </w:rPr>
                    <w:t>安全设施提升</w:t>
                  </w:r>
                  <w:r>
                    <w:rPr>
                      <w:rFonts w:ascii="仿宋_GB2312" w:hAnsi="仿宋_GB2312" w:cs="仿宋_GB2312" w:eastAsia="仿宋_GB2312"/>
                      <w:sz w:val="21"/>
                    </w:rPr>
                    <w:t>总体平面布置图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采用无人机正摄图片或三维</w:t>
                  </w:r>
                  <w:r>
                    <w:rPr>
                      <w:rFonts w:ascii="仿宋_GB2312" w:hAnsi="仿宋_GB2312" w:cs="仿宋_GB2312" w:eastAsia="仿宋_GB2312"/>
                      <w:sz w:val="21"/>
                    </w:rPr>
                    <w:t>地形图为底图，按</w:t>
                  </w:r>
                  <w:r>
                    <w:rPr>
                      <w:rFonts w:ascii="仿宋_GB2312" w:hAnsi="仿宋_GB2312" w:cs="仿宋_GB2312" w:eastAsia="仿宋_GB2312"/>
                      <w:sz w:val="21"/>
                    </w:rPr>
                    <w:t>1:1000</w:t>
                  </w:r>
                  <w:r>
                    <w:rPr>
                      <w:rFonts w:ascii="仿宋_GB2312" w:hAnsi="仿宋_GB2312" w:cs="仿宋_GB2312" w:eastAsia="仿宋_GB2312"/>
                      <w:sz w:val="21"/>
                    </w:rPr>
                    <w:t>比例尺绘图，分幅绘制所有安全设施布置的位置、结构型式等内容。</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安全设施标准横断面布置图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在公路标准横断面图基础上进行布置相应的标志、标线。</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关键点位安全设施布置图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重要点位的无人机正摄图片为底图，详细</w:t>
                  </w:r>
                  <w:r>
                    <w:rPr>
                      <w:rFonts w:ascii="仿宋_GB2312" w:hAnsi="仿宋_GB2312" w:cs="仿宋_GB2312" w:eastAsia="仿宋_GB2312"/>
                      <w:sz w:val="21"/>
                    </w:rPr>
                    <w:t>绘制所有安全设施布置的位置、结构型式等内容。</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标志版面布置图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各类交通标志版面布置图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标志结构设计图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各类交通标志结构、安装设置等设计施工图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标线设计大样图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各类交通标线尺寸、施划等设计施工图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隔离</w:t>
                  </w:r>
                  <w:r>
                    <w:rPr>
                      <w:rFonts w:ascii="仿宋_GB2312" w:hAnsi="仿宋_GB2312" w:cs="仿宋_GB2312" w:eastAsia="仿宋_GB2312"/>
                      <w:sz w:val="21"/>
                    </w:rPr>
                    <w:t>护栏结构设计图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波形梁、混凝土、隔离栏杆等</w:t>
                  </w:r>
                  <w:r>
                    <w:rPr>
                      <w:rFonts w:ascii="仿宋_GB2312" w:hAnsi="仿宋_GB2312" w:cs="仿宋_GB2312" w:eastAsia="仿宋_GB2312"/>
                      <w:sz w:val="21"/>
                    </w:rPr>
                    <w:t>类别、结构、设置等设计图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红绿灯结构设计图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红绿灯结构尺寸、安装设置等设计图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爆闪灯结构设计图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爆闪灯结构尺寸、安装设置等设计图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监控设施设计图</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包含系统图、结构设计图等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主要工程数量表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具体包括：</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标志设置一览表</w:t>
                  </w:r>
                  <w:r>
                    <w:rPr>
                      <w:rFonts w:ascii="仿宋_GB2312" w:hAnsi="仿宋_GB2312" w:cs="仿宋_GB2312" w:eastAsia="仿宋_GB2312"/>
                      <w:sz w:val="21"/>
                    </w:rPr>
                    <w:t>：详细列出标志所在的桩号位置，及对应标志的版面、结构形式、数量等信息。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标线设置一览表</w:t>
                  </w:r>
                  <w:r>
                    <w:rPr>
                      <w:rFonts w:ascii="仿宋_GB2312" w:hAnsi="仿宋_GB2312" w:cs="仿宋_GB2312" w:eastAsia="仿宋_GB2312"/>
                      <w:sz w:val="21"/>
                    </w:rPr>
                    <w:t>：详细列出路段范围内的标线设计情况，写明具体对应标线种类、面积、工程量等信息。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红绿灯、爆闪灯、监控</w:t>
                  </w:r>
                  <w:r>
                    <w:rPr>
                      <w:rFonts w:ascii="仿宋_GB2312" w:hAnsi="仿宋_GB2312" w:cs="仿宋_GB2312" w:eastAsia="仿宋_GB2312"/>
                      <w:sz w:val="21"/>
                    </w:rPr>
                    <w:t>设施</w:t>
                  </w:r>
                  <w:r>
                    <w:rPr>
                      <w:rFonts w:ascii="仿宋_GB2312" w:hAnsi="仿宋_GB2312" w:cs="仿宋_GB2312" w:eastAsia="仿宋_GB2312"/>
                      <w:sz w:val="21"/>
                    </w:rPr>
                    <w:t>设置一览表</w:t>
                  </w:r>
                  <w:r>
                    <w:rPr>
                      <w:rFonts w:ascii="仿宋_GB2312" w:hAnsi="仿宋_GB2312" w:cs="仿宋_GB2312" w:eastAsia="仿宋_GB2312"/>
                      <w:sz w:val="21"/>
                    </w:rPr>
                    <w:t>：详细列出信号灯、监控等所在位置，及对应信号灯、监控等结构形式、数量等信息。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护栏设置一览表</w:t>
                  </w:r>
                  <w:r>
                    <w:rPr>
                      <w:rFonts w:ascii="仿宋_GB2312" w:hAnsi="仿宋_GB2312" w:cs="仿宋_GB2312" w:eastAsia="仿宋_GB2312"/>
                      <w:sz w:val="21"/>
                    </w:rPr>
                    <w:t>：详细列出路段范围内的护栏布置情况，写明具体对应护栏种类、长度、工程量等信息。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“五必上”</w:t>
                  </w:r>
                  <w:r>
                    <w:rPr>
                      <w:rFonts w:ascii="仿宋_GB2312" w:hAnsi="仿宋_GB2312" w:cs="仿宋_GB2312" w:eastAsia="仿宋_GB2312"/>
                      <w:sz w:val="21"/>
                    </w:rPr>
                    <w:t>安全设施一览表</w:t>
                  </w:r>
                  <w:r>
                    <w:rPr>
                      <w:rFonts w:ascii="仿宋_GB2312" w:hAnsi="仿宋_GB2312" w:cs="仿宋_GB2312" w:eastAsia="仿宋_GB2312"/>
                      <w:sz w:val="21"/>
                    </w:rPr>
                    <w:t>：详细列出农村路口增设</w:t>
                  </w:r>
                  <w:r>
                    <w:rPr>
                      <w:rFonts w:ascii="仿宋_GB2312" w:hAnsi="仿宋_GB2312" w:cs="仿宋_GB2312" w:eastAsia="仿宋_GB2312"/>
                      <w:sz w:val="21"/>
                    </w:rPr>
                    <w:t>“五必上”安全设施情况，包括停车让行标志标线、减速丘、爆闪灯、照明、道口标柱等信息。</w:t>
                  </w:r>
                </w:p>
              </w:tc>
            </w:tr>
          </w:tbl>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 xml:space="preserve">.3 </w:t>
            </w:r>
            <w:r>
              <w:rPr>
                <w:rFonts w:ascii="仿宋_GB2312" w:hAnsi="仿宋_GB2312" w:cs="仿宋_GB2312" w:eastAsia="仿宋_GB2312"/>
                <w:sz w:val="24"/>
                <w:b/>
              </w:rPr>
              <w:t>交通管理安全设施提升工程预算编制</w:t>
            </w:r>
          </w:p>
          <w:p>
            <w:pPr>
              <w:pStyle w:val="null3"/>
              <w:ind w:firstLine="480"/>
              <w:jc w:val="both"/>
            </w:pPr>
            <w:r>
              <w:rPr>
                <w:rFonts w:ascii="仿宋_GB2312" w:hAnsi="仿宋_GB2312" w:cs="仿宋_GB2312" w:eastAsia="仿宋_GB2312"/>
                <w:sz w:val="24"/>
              </w:rPr>
              <w:t>按照交通运输部《公路工程建设项目估算编制办法》（</w:t>
            </w:r>
            <w:r>
              <w:rPr>
                <w:rFonts w:ascii="仿宋_GB2312" w:hAnsi="仿宋_GB2312" w:cs="仿宋_GB2312" w:eastAsia="仿宋_GB2312"/>
                <w:sz w:val="24"/>
              </w:rPr>
              <w:t>JTG 3830-2018</w:t>
            </w:r>
            <w:r>
              <w:rPr>
                <w:rFonts w:ascii="仿宋_GB2312" w:hAnsi="仿宋_GB2312" w:cs="仿宋_GB2312" w:eastAsia="仿宋_GB2312"/>
                <w:sz w:val="24"/>
              </w:rPr>
              <w:t>）进行预算文件编制，考虑到不同地市的地材价格存在差异，预算文件原则上以县区为单位进行编制，各区县工程造价预算见附件。</w:t>
            </w:r>
          </w:p>
          <w:p>
            <w:pPr>
              <w:pStyle w:val="null3"/>
              <w:ind w:firstLine="482"/>
              <w:jc w:val="both"/>
            </w:pPr>
            <w:r>
              <w:rPr>
                <w:rFonts w:ascii="仿宋_GB2312" w:hAnsi="仿宋_GB2312" w:cs="仿宋_GB2312" w:eastAsia="仿宋_GB2312"/>
                <w:sz w:val="24"/>
                <w:b/>
              </w:rPr>
              <w:t>（一）采用的定额标准</w:t>
            </w:r>
          </w:p>
          <w:p>
            <w:pPr>
              <w:pStyle w:val="null3"/>
              <w:ind w:firstLine="480"/>
              <w:jc w:val="both"/>
            </w:pPr>
            <w:r>
              <w:rPr>
                <w:rFonts w:ascii="仿宋_GB2312" w:hAnsi="仿宋_GB2312" w:cs="仿宋_GB2312" w:eastAsia="仿宋_GB2312"/>
                <w:sz w:val="24"/>
              </w:rPr>
              <w:t>《公路工程建设项目估算编制办法》（</w:t>
            </w:r>
            <w:r>
              <w:rPr>
                <w:rFonts w:ascii="仿宋_GB2312" w:hAnsi="仿宋_GB2312" w:cs="仿宋_GB2312" w:eastAsia="仿宋_GB2312"/>
                <w:sz w:val="24"/>
              </w:rPr>
              <w:t>JTG 3830-2018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《公路工程概算定额》（</w:t>
            </w:r>
            <w:r>
              <w:rPr>
                <w:rFonts w:ascii="仿宋_GB2312" w:hAnsi="仿宋_GB2312" w:cs="仿宋_GB2312" w:eastAsia="仿宋_GB2312"/>
                <w:sz w:val="24"/>
              </w:rPr>
              <w:t>JTG/T 3831-2018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《公路工程机械台班费用定额》（</w:t>
            </w:r>
            <w:r>
              <w:rPr>
                <w:rFonts w:ascii="仿宋_GB2312" w:hAnsi="仿宋_GB2312" w:cs="仿宋_GB2312" w:eastAsia="仿宋_GB2312"/>
                <w:sz w:val="24"/>
              </w:rPr>
              <w:t>JTG/T 3833-2018</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（二）采用的费用标准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）交通运输部关于调整《公路工程建设项目投资估算编制办法》</w:t>
            </w:r>
            <w:r>
              <w:rPr>
                <w:rFonts w:ascii="仿宋_GB2312" w:hAnsi="仿宋_GB2312" w:cs="仿宋_GB2312" w:eastAsia="仿宋_GB2312"/>
                <w:sz w:val="24"/>
              </w:rPr>
              <w:t>(JTG 3820-2018)</w:t>
            </w:r>
            <w:r>
              <w:rPr>
                <w:rFonts w:ascii="仿宋_GB2312" w:hAnsi="仿宋_GB2312" w:cs="仿宋_GB2312" w:eastAsia="仿宋_GB2312"/>
                <w:sz w:val="24"/>
              </w:rPr>
              <w:t>和</w:t>
            </w:r>
            <w:r>
              <w:rPr>
                <w:rFonts w:ascii="仿宋_GB2312" w:hAnsi="仿宋_GB2312" w:cs="仿宋_GB2312" w:eastAsia="仿宋_GB2312"/>
                <w:sz w:val="24"/>
              </w:rPr>
              <w:t>《公路工程建设项目概算预算编制办法》</w:t>
            </w:r>
            <w:r>
              <w:rPr>
                <w:rFonts w:ascii="仿宋_GB2312" w:hAnsi="仿宋_GB2312" w:cs="仿宋_GB2312" w:eastAsia="仿宋_GB2312"/>
                <w:sz w:val="24"/>
              </w:rPr>
              <w:t>(JTG 3830-2018)</w:t>
            </w:r>
            <w:r>
              <w:rPr>
                <w:rFonts w:ascii="仿宋_GB2312" w:hAnsi="仿宋_GB2312" w:cs="仿宋_GB2312" w:eastAsia="仿宋_GB2312"/>
                <w:sz w:val="24"/>
              </w:rPr>
              <w:t>中</w:t>
            </w:r>
            <w:r>
              <w:rPr>
                <w:rFonts w:ascii="仿宋_GB2312" w:hAnsi="仿宋_GB2312" w:cs="仿宋_GB2312" w:eastAsia="仿宋_GB2312"/>
                <w:sz w:val="24"/>
              </w:rPr>
              <w:t>“税金”有关规定的公告（交通运输部公告</w:t>
            </w:r>
            <w:r>
              <w:rPr>
                <w:rFonts w:ascii="仿宋_GB2312" w:hAnsi="仿宋_GB2312" w:cs="仿宋_GB2312" w:eastAsia="仿宋_GB2312"/>
                <w:sz w:val="24"/>
              </w:rPr>
              <w:t>2019</w:t>
            </w:r>
            <w:r>
              <w:rPr>
                <w:rFonts w:ascii="仿宋_GB2312" w:hAnsi="仿宋_GB2312" w:cs="仿宋_GB2312" w:eastAsia="仿宋_GB2312"/>
                <w:sz w:val="24"/>
              </w:rPr>
              <w:t>年第</w:t>
            </w:r>
            <w:r>
              <w:rPr>
                <w:rFonts w:ascii="仿宋_GB2312" w:hAnsi="仿宋_GB2312" w:cs="仿宋_GB2312" w:eastAsia="仿宋_GB2312"/>
                <w:sz w:val="24"/>
              </w:rPr>
              <w:t>26</w:t>
            </w:r>
            <w:r>
              <w:rPr>
                <w:rFonts w:ascii="仿宋_GB2312" w:hAnsi="仿宋_GB2312" w:cs="仿宋_GB2312" w:eastAsia="仿宋_GB2312"/>
                <w:sz w:val="24"/>
              </w:rPr>
              <w:t>号公告）。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 xml:space="preserve">）财政部、国家发展改革委《关于取消、停征和免征一批行政事业性收费的通知》（财税 </w:t>
            </w:r>
            <w:r>
              <w:rPr>
                <w:rFonts w:ascii="仿宋_GB2312" w:hAnsi="仿宋_GB2312" w:cs="仿宋_GB2312" w:eastAsia="仿宋_GB2312"/>
                <w:sz w:val="24"/>
              </w:rPr>
              <w:t>[2014]101</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）《财政部税务总局海关总署关于深化增值税改革有关政策的公告》（财政部税务总局海关总署公告</w:t>
            </w:r>
            <w:r>
              <w:rPr>
                <w:rFonts w:ascii="仿宋_GB2312" w:hAnsi="仿宋_GB2312" w:cs="仿宋_GB2312" w:eastAsia="仿宋_GB2312"/>
                <w:sz w:val="24"/>
              </w:rPr>
              <w:t>2019</w:t>
            </w:r>
            <w:r>
              <w:rPr>
                <w:rFonts w:ascii="仿宋_GB2312" w:hAnsi="仿宋_GB2312" w:cs="仿宋_GB2312" w:eastAsia="仿宋_GB2312"/>
                <w:sz w:val="24"/>
              </w:rPr>
              <w:t>年第</w:t>
            </w:r>
            <w:r>
              <w:rPr>
                <w:rFonts w:ascii="仿宋_GB2312" w:hAnsi="仿宋_GB2312" w:cs="仿宋_GB2312" w:eastAsia="仿宋_GB2312"/>
                <w:sz w:val="24"/>
              </w:rPr>
              <w:t>39</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）陕西省人民政府</w:t>
            </w:r>
            <w:r>
              <w:rPr>
                <w:rFonts w:ascii="仿宋_GB2312" w:hAnsi="仿宋_GB2312" w:cs="仿宋_GB2312" w:eastAsia="仿宋_GB2312"/>
                <w:sz w:val="24"/>
              </w:rPr>
              <w:t>2012</w:t>
            </w:r>
            <w:r>
              <w:rPr>
                <w:rFonts w:ascii="仿宋_GB2312" w:hAnsi="仿宋_GB2312" w:cs="仿宋_GB2312" w:eastAsia="仿宋_GB2312"/>
                <w:sz w:val="24"/>
              </w:rPr>
              <w:t>年第</w:t>
            </w:r>
            <w:r>
              <w:rPr>
                <w:rFonts w:ascii="仿宋_GB2312" w:hAnsi="仿宋_GB2312" w:cs="仿宋_GB2312" w:eastAsia="仿宋_GB2312"/>
                <w:sz w:val="24"/>
              </w:rPr>
              <w:t>153</w:t>
            </w:r>
            <w:r>
              <w:rPr>
                <w:rFonts w:ascii="仿宋_GB2312" w:hAnsi="仿宋_GB2312" w:cs="仿宋_GB2312" w:eastAsia="仿宋_GB2312"/>
                <w:sz w:val="24"/>
              </w:rPr>
              <w:t>号令《陕西省车船税征收办法》有关规定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）陕西省交通厅陕交发</w:t>
            </w:r>
            <w:r>
              <w:rPr>
                <w:rFonts w:ascii="仿宋_GB2312" w:hAnsi="仿宋_GB2312" w:cs="仿宋_GB2312" w:eastAsia="仿宋_GB2312"/>
                <w:sz w:val="24"/>
              </w:rPr>
              <w:t>[2012]40</w:t>
            </w:r>
            <w:r>
              <w:rPr>
                <w:rFonts w:ascii="仿宋_GB2312" w:hAnsi="仿宋_GB2312" w:cs="仿宋_GB2312" w:eastAsia="仿宋_GB2312"/>
                <w:sz w:val="24"/>
              </w:rPr>
              <w:t>号《陕西省公路养护工程预算编制办法》、《陕西省公路养护工程预算定额》及《陕西省公路养护工程机械台班费用定额》；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）陕西省交通运输厅全省公路养护工程营业税改征增值税预算编制有关事项的通知（陕交函【</w:t>
            </w:r>
            <w:r>
              <w:rPr>
                <w:rFonts w:ascii="仿宋_GB2312" w:hAnsi="仿宋_GB2312" w:cs="仿宋_GB2312" w:eastAsia="仿宋_GB2312"/>
                <w:sz w:val="24"/>
              </w:rPr>
              <w:t>2016</w:t>
            </w:r>
            <w:r>
              <w:rPr>
                <w:rFonts w:ascii="仿宋_GB2312" w:hAnsi="仿宋_GB2312" w:cs="仿宋_GB2312" w:eastAsia="仿宋_GB2312"/>
                <w:sz w:val="24"/>
              </w:rPr>
              <w:t>】</w:t>
            </w:r>
            <w:r>
              <w:rPr>
                <w:rFonts w:ascii="仿宋_GB2312" w:hAnsi="仿宋_GB2312" w:cs="仿宋_GB2312" w:eastAsia="仿宋_GB2312"/>
                <w:sz w:val="24"/>
              </w:rPr>
              <w:t>863</w:t>
            </w:r>
            <w:r>
              <w:rPr>
                <w:rFonts w:ascii="仿宋_GB2312" w:hAnsi="仿宋_GB2312" w:cs="仿宋_GB2312" w:eastAsia="仿宋_GB2312"/>
                <w:sz w:val="24"/>
              </w:rPr>
              <w:t>号文）。</w:t>
            </w:r>
          </w:p>
          <w:p>
            <w:pPr>
              <w:pStyle w:val="null3"/>
              <w:ind w:firstLine="482"/>
              <w:jc w:val="both"/>
            </w:pPr>
            <w:r>
              <w:rPr>
                <w:rFonts w:ascii="仿宋_GB2312" w:hAnsi="仿宋_GB2312" w:cs="仿宋_GB2312" w:eastAsia="仿宋_GB2312"/>
                <w:sz w:val="24"/>
                <w:b/>
              </w:rPr>
              <w:t>（三）改造工程预算表</w:t>
            </w:r>
          </w:p>
          <w:p>
            <w:pPr>
              <w:pStyle w:val="null3"/>
              <w:ind w:firstLine="480"/>
              <w:jc w:val="both"/>
            </w:pPr>
            <w:r>
              <w:rPr>
                <w:rFonts w:ascii="仿宋_GB2312" w:hAnsi="仿宋_GB2312" w:cs="仿宋_GB2312" w:eastAsia="仿宋_GB2312"/>
                <w:sz w:val="24"/>
              </w:rPr>
              <w:t>形成的改造工程总预算表示例如图</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所示，主要包括：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公路养护工程费</w:t>
            </w:r>
          </w:p>
          <w:p>
            <w:pPr>
              <w:pStyle w:val="null3"/>
              <w:ind w:firstLine="480"/>
              <w:jc w:val="both"/>
            </w:pPr>
            <w:r>
              <w:rPr>
                <w:rFonts w:ascii="仿宋_GB2312" w:hAnsi="仿宋_GB2312" w:cs="仿宋_GB2312" w:eastAsia="仿宋_GB2312"/>
                <w:sz w:val="24"/>
              </w:rPr>
              <w:t>沿线设施、标志牌的新设或更换、铝合金标志、单柱式标志、护栏或隔离栅的全面修理更换、平交道口标柱、凸面镜等交通设施。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设备购置费用</w:t>
            </w:r>
          </w:p>
          <w:p>
            <w:pPr>
              <w:pStyle w:val="null3"/>
              <w:ind w:firstLine="480"/>
              <w:jc w:val="both"/>
            </w:pPr>
            <w:r>
              <w:rPr>
                <w:rFonts w:ascii="仿宋_GB2312" w:hAnsi="仿宋_GB2312" w:cs="仿宋_GB2312" w:eastAsia="仿宋_GB2312"/>
                <w:sz w:val="24"/>
              </w:rPr>
              <w:t>交通信号灯、监控设施、照明设施等，以及其他智能交通管控设备。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公路养护工程其他费用</w:t>
            </w:r>
          </w:p>
          <w:p>
            <w:pPr>
              <w:pStyle w:val="null3"/>
              <w:ind w:firstLine="480"/>
              <w:jc w:val="both"/>
            </w:pPr>
            <w:r>
              <w:rPr>
                <w:rFonts w:ascii="仿宋_GB2312" w:hAnsi="仿宋_GB2312" w:cs="仿宋_GB2312" w:eastAsia="仿宋_GB2312"/>
                <w:sz w:val="24"/>
              </w:rPr>
              <w:t>养护项目管理费、养护单位管理费、工程监理费、设计文件审查费、竣</w:t>
            </w:r>
            <w:r>
              <w:rPr>
                <w:rFonts w:ascii="仿宋_GB2312" w:hAnsi="仿宋_GB2312" w:cs="仿宋_GB2312" w:eastAsia="仿宋_GB2312"/>
                <w:sz w:val="24"/>
              </w:rPr>
              <w:t>(</w:t>
            </w:r>
            <w:r>
              <w:rPr>
                <w:rFonts w:ascii="仿宋_GB2312" w:hAnsi="仿宋_GB2312" w:cs="仿宋_GB2312" w:eastAsia="仿宋_GB2312"/>
                <w:sz w:val="24"/>
              </w:rPr>
              <w:t>交</w:t>
            </w:r>
            <w:r>
              <w:rPr>
                <w:rFonts w:ascii="仿宋_GB2312" w:hAnsi="仿宋_GB2312" w:cs="仿宋_GB2312" w:eastAsia="仿宋_GB2312"/>
                <w:sz w:val="24"/>
              </w:rPr>
              <w:t>)</w:t>
            </w:r>
            <w:r>
              <w:rPr>
                <w:rFonts w:ascii="仿宋_GB2312" w:hAnsi="仿宋_GB2312" w:cs="仿宋_GB2312" w:eastAsia="仿宋_GB2312"/>
                <w:sz w:val="24"/>
              </w:rPr>
              <w:t>工验收试验检测费</w:t>
            </w:r>
            <w:r>
              <w:rPr>
                <w:rFonts w:ascii="仿宋_GB2312" w:hAnsi="仿宋_GB2312" w:cs="仿宋_GB2312" w:eastAsia="仿宋_GB2312"/>
                <w:sz w:val="24"/>
              </w:rPr>
              <w:t>、项目前期工作费、勘察费、设计费等。</w:t>
            </w:r>
          </w:p>
          <w:p>
            <w:pPr>
              <w:pStyle w:val="null3"/>
              <w:jc w:val="center"/>
            </w:pPr>
            <w:r>
              <w:drawing>
                <wp:inline distT="0" distR="0" distB="0" distL="0">
                  <wp:extent cx="1621155" cy="85479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1621155" cy="854790"/>
                          </a:xfrm>
                          <a:prstGeom prst="rect">
                            <a:avLst/>
                          </a:prstGeom>
                        </pic:spPr>
                      </pic:pic>
                    </a:graphicData>
                  </a:graphic>
                </wp:inline>
              </w:drawing>
            </w:r>
          </w:p>
          <w:p>
            <w:pPr>
              <w:pStyle w:val="null3"/>
              <w:jc w:val="center"/>
            </w:pPr>
            <w:r>
              <w:rPr>
                <w:rFonts w:ascii="仿宋_GB2312" w:hAnsi="仿宋_GB2312" w:cs="仿宋_GB2312" w:eastAsia="仿宋_GB2312"/>
                <w:sz w:val="24"/>
              </w:rPr>
              <w:t>图</w:t>
            </w:r>
            <w:r>
              <w:rPr>
                <w:rFonts w:ascii="仿宋_GB2312" w:hAnsi="仿宋_GB2312" w:cs="仿宋_GB2312" w:eastAsia="仿宋_GB2312"/>
                <w:sz w:val="24"/>
              </w:rPr>
              <w:t>2.3</w:t>
            </w:r>
            <w:r>
              <w:rPr>
                <w:rFonts w:ascii="仿宋_GB2312" w:hAnsi="仿宋_GB2312" w:cs="仿宋_GB2312" w:eastAsia="仿宋_GB2312"/>
                <w:sz w:val="24"/>
              </w:rPr>
              <w:t xml:space="preserve"> </w:t>
            </w:r>
            <w:r>
              <w:rPr>
                <w:rFonts w:ascii="仿宋_GB2312" w:hAnsi="仿宋_GB2312" w:cs="仿宋_GB2312" w:eastAsia="仿宋_GB2312"/>
                <w:sz w:val="24"/>
              </w:rPr>
              <w:t>工程总预算表示例</w:t>
            </w:r>
          </w:p>
          <w:p>
            <w:pPr>
              <w:pStyle w:val="null3"/>
              <w:numPr>
                <w:ilvl w:val="0"/>
                <w:numId w:val="2"/>
              </w:numPr>
              <w:jc w:val="left"/>
            </w:pPr>
            <w:r>
              <w:rPr>
                <w:rFonts w:ascii="仿宋_GB2312" w:hAnsi="仿宋_GB2312" w:cs="仿宋_GB2312" w:eastAsia="仿宋_GB2312"/>
                <w:sz w:val="28"/>
                <w:b/>
              </w:rPr>
              <w:t>人员配备</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3</w:t>
            </w:r>
            <w:r>
              <w:rPr>
                <w:rFonts w:ascii="仿宋_GB2312" w:hAnsi="仿宋_GB2312" w:cs="仿宋_GB2312" w:eastAsia="仿宋_GB2312"/>
                <w:sz w:val="24"/>
              </w:rPr>
              <w:t xml:space="preserve">.1 </w:t>
            </w:r>
            <w:r>
              <w:rPr>
                <w:rFonts w:ascii="仿宋_GB2312" w:hAnsi="仿宋_GB2312" w:cs="仿宋_GB2312" w:eastAsia="仿宋_GB2312"/>
                <w:sz w:val="24"/>
              </w:rPr>
              <w:t>平均单个穿村过镇路段人员排配备情况</w:t>
            </w:r>
          </w:p>
          <w:tbl>
            <w:tblPr>
              <w:tblBorders>
                <w:top w:val="none" w:color="000000" w:sz="4"/>
                <w:left w:val="none" w:color="000000" w:sz="4"/>
                <w:bottom w:val="none" w:color="000000" w:sz="4"/>
                <w:right w:val="none" w:color="000000" w:sz="4"/>
                <w:insideH w:val="none"/>
                <w:insideV w:val="none"/>
              </w:tblBorders>
            </w:tblPr>
            <w:tblGrid>
              <w:gridCol w:w="248"/>
              <w:gridCol w:w="292"/>
              <w:gridCol w:w="1502"/>
              <w:gridCol w:w="311"/>
              <w:gridCol w:w="178"/>
              <w:gridCol w:w="178"/>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工作项</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主要工作内容</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人员配备</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人数</w:t>
                  </w:r>
                </w:p>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21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农村地区穿村过镇路段现场勘查与数据测量采集作业</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国省干线穿村过镇路段现场勘查与测量作业</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w:t>
                  </w:r>
                  <w:r>
                    <w:rPr>
                      <w:rFonts w:ascii="仿宋_GB2312" w:hAnsi="仿宋_GB2312" w:cs="仿宋_GB2312" w:eastAsia="仿宋_GB2312"/>
                      <w:sz w:val="22"/>
                      <w:color w:val="000000"/>
                    </w:rPr>
                    <w:t>个穿村过镇路段，</w:t>
                  </w:r>
                  <w:r>
                    <w:rPr>
                      <w:rFonts w:ascii="仿宋_GB2312" w:hAnsi="仿宋_GB2312" w:cs="仿宋_GB2312" w:eastAsia="仿宋_GB2312"/>
                      <w:sz w:val="22"/>
                      <w:color w:val="000000"/>
                    </w:rPr>
                    <w:t>通过实地勘查、现场调研，</w:t>
                  </w:r>
                  <w:r>
                    <w:rPr>
                      <w:rFonts w:ascii="仿宋_GB2312" w:hAnsi="仿宋_GB2312" w:cs="仿宋_GB2312" w:eastAsia="仿宋_GB2312"/>
                      <w:sz w:val="22"/>
                      <w:color w:val="000000"/>
                    </w:rPr>
                    <w:t>逐一开展交通流量、道路设施现状、道路环境现状、交通事故现状等道路交通现状调查与分析</w:t>
                  </w:r>
                  <w:r>
                    <w:rPr>
                      <w:rFonts w:ascii="仿宋_GB2312" w:hAnsi="仿宋_GB2312" w:cs="仿宋_GB2312" w:eastAsia="仿宋_GB2312"/>
                      <w:sz w:val="22"/>
                      <w:color w:val="000000"/>
                    </w:rPr>
                    <w:t>，全方位测量与采集规范化数据</w:t>
                  </w:r>
                  <w:r>
                    <w:rPr>
                      <w:rFonts w:ascii="仿宋_GB2312" w:hAnsi="仿宋_GB2312" w:cs="仿宋_GB2312" w:eastAsia="仿宋_GB2312"/>
                      <w:sz w:val="22"/>
                      <w:color w:val="000000"/>
                    </w:rPr>
                    <w:t>。</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项目经理</w:t>
                  </w:r>
                  <w:r>
                    <w:rPr>
                      <w:rFonts w:ascii="仿宋_GB2312" w:hAnsi="仿宋_GB2312" w:cs="仿宋_GB2312" w:eastAsia="仿宋_GB2312"/>
                      <w:sz w:val="22"/>
                      <w:color w:val="000000"/>
                    </w:rPr>
                    <w:t>/</w:t>
                  </w:r>
                  <w:r>
                    <w:rPr>
                      <w:rFonts w:ascii="仿宋_GB2312" w:hAnsi="仿宋_GB2312" w:cs="仿宋_GB2312" w:eastAsia="仿宋_GB2312"/>
                      <w:sz w:val="22"/>
                      <w:color w:val="000000"/>
                    </w:rPr>
                    <w:t>资深工程师</w:t>
                  </w:r>
                </w:p>
                <w:p>
                  <w:pPr>
                    <w:pStyle w:val="null3"/>
                    <w:jc w:val="center"/>
                  </w:pPr>
                </w:p>
              </w:tc>
              <w:tc>
                <w:tcPr>
                  <w:tcW w:type="dxa" w:w="1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8"/>
                  <w:vMerge/>
                  <w:tcBorders>
                    <w:top w:val="none" w:color="000000" w:sz="4"/>
                    <w:left w:val="single" w:color="000000" w:sz="4"/>
                    <w:bottom w:val="single" w:color="000000" w:sz="4"/>
                    <w:right w:val="single" w:color="000000" w:sz="4"/>
                  </w:tcBorders>
                </w:tcPr>
                <w:p/>
              </w:tc>
              <w:tc>
                <w:tcPr>
                  <w:tcW w:type="dxa" w:w="292"/>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每个穿村过镇事故多发路段全方位</w:t>
                  </w:r>
                  <w:r>
                    <w:rPr>
                      <w:rFonts w:ascii="仿宋_GB2312" w:hAnsi="仿宋_GB2312" w:cs="仿宋_GB2312" w:eastAsia="仿宋_GB2312"/>
                      <w:sz w:val="22"/>
                      <w:color w:val="000000"/>
                    </w:rPr>
                    <w:t>数据文档</w:t>
                  </w:r>
                  <w:r>
                    <w:rPr>
                      <w:rFonts w:ascii="仿宋_GB2312" w:hAnsi="仿宋_GB2312" w:cs="仿宋_GB2312" w:eastAsia="仿宋_GB2312"/>
                      <w:sz w:val="22"/>
                      <w:color w:val="000000"/>
                    </w:rPr>
                    <w:t>和调研分析报告。从工作量考量，</w:t>
                  </w:r>
                  <w:r>
                    <w:rPr>
                      <w:rFonts w:ascii="仿宋_GB2312" w:hAnsi="仿宋_GB2312" w:cs="仿宋_GB2312" w:eastAsia="仿宋_GB2312"/>
                      <w:sz w:val="22"/>
                      <w:color w:val="000000"/>
                    </w:rPr>
                    <w:t>需要</w:t>
                  </w:r>
                  <w:r>
                    <w:rPr>
                      <w:rFonts w:ascii="仿宋_GB2312" w:hAnsi="仿宋_GB2312" w:cs="仿宋_GB2312" w:eastAsia="仿宋_GB2312"/>
                      <w:sz w:val="22"/>
                      <w:color w:val="000000"/>
                    </w:rPr>
                    <w:t>2</w:t>
                  </w:r>
                  <w:r>
                    <w:rPr>
                      <w:rFonts w:ascii="仿宋_GB2312" w:hAnsi="仿宋_GB2312" w:cs="仿宋_GB2312" w:eastAsia="仿宋_GB2312"/>
                      <w:sz w:val="22"/>
                      <w:color w:val="000000"/>
                    </w:rPr>
                    <w:t>人</w:t>
                  </w:r>
                  <w:r>
                    <w:rPr>
                      <w:rFonts w:ascii="仿宋_GB2312" w:hAnsi="仿宋_GB2312" w:cs="仿宋_GB2312" w:eastAsia="仿宋_GB2312"/>
                      <w:sz w:val="22"/>
                      <w:color w:val="000000"/>
                    </w:rPr>
                    <w:t>开展，平均每个路段约需</w:t>
                  </w:r>
                  <w:r>
                    <w:rPr>
                      <w:rFonts w:ascii="仿宋_GB2312" w:hAnsi="仿宋_GB2312" w:cs="仿宋_GB2312" w:eastAsia="仿宋_GB2312"/>
                      <w:sz w:val="22"/>
                      <w:color w:val="000000"/>
                    </w:rPr>
                    <w:t>0.5</w:t>
                  </w:r>
                  <w:r>
                    <w:rPr>
                      <w:rFonts w:ascii="仿宋_GB2312" w:hAnsi="仿宋_GB2312" w:cs="仿宋_GB2312" w:eastAsia="仿宋_GB2312"/>
                      <w:sz w:val="22"/>
                      <w:color w:val="000000"/>
                    </w:rPr>
                    <w:t>天</w:t>
                  </w:r>
                  <w:r>
                    <w:rPr>
                      <w:rFonts w:ascii="仿宋_GB2312" w:hAnsi="仿宋_GB2312" w:cs="仿宋_GB2312" w:eastAsia="仿宋_GB2312"/>
                      <w:sz w:val="22"/>
                      <w:color w:val="000000"/>
                    </w:rPr>
                    <w:t>现场信息调研</w:t>
                  </w:r>
                  <w:r>
                    <w:rPr>
                      <w:rFonts w:ascii="仿宋_GB2312" w:hAnsi="仿宋_GB2312" w:cs="仿宋_GB2312" w:eastAsia="仿宋_GB2312"/>
                      <w:sz w:val="22"/>
                      <w:color w:val="000000"/>
                    </w:rPr>
                    <w:t>、分析与数据采集</w:t>
                  </w:r>
                  <w:r>
                    <w:rPr>
                      <w:rFonts w:ascii="仿宋_GB2312" w:hAnsi="仿宋_GB2312" w:cs="仿宋_GB2312" w:eastAsia="仿宋_GB2312"/>
                      <w:sz w:val="22"/>
                      <w:color w:val="000000"/>
                    </w:rPr>
                    <w:t>。</w:t>
                  </w:r>
                </w:p>
              </w:tc>
              <w:tc>
                <w:tcPr>
                  <w:tcW w:type="dxa" w:w="311"/>
                  <w:vMerge/>
                  <w:tcBorders>
                    <w:top w:val="none" w:color="000000" w:sz="4"/>
                    <w:left w:val="single" w:color="000000" w:sz="4"/>
                    <w:bottom w:val="single" w:color="000000" w:sz="4"/>
                    <w:right w:val="single" w:color="000000" w:sz="4"/>
                  </w:tcBorders>
                </w:tcPr>
                <w:p/>
              </w:tc>
              <w:tc>
                <w:tcPr>
                  <w:tcW w:type="dxa" w:w="178"/>
                  <w:vMerge/>
                  <w:tcBorders>
                    <w:top w:val="single" w:color="000000" w:sz="4"/>
                    <w:left w:val="single" w:color="000000" w:sz="4"/>
                    <w:bottom w:val="single" w:color="000000" w:sz="4"/>
                    <w:right w:val="single" w:color="000000" w:sz="4"/>
                  </w:tcBorders>
                </w:tc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w:t>
                  </w:r>
                </w:p>
              </w:tc>
              <w:tc>
                <w:tcPr>
                  <w:tcW w:type="dxa" w:w="21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农村地区穿村过镇路段交通管理安全设施提升工程施工图编制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农村地区穿村过镇路段交通管理安全设施提升工程方案设计</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道路环境、道路现有设施、交通事故等道路交通现状调查情况，逐一深度剖析事故的人为、道路、环境、车辆、交通管理等多方面原因，分析和研判安全隐患问题，从交通标志标线设置、隔离防护设施设置、交通管理设施设置等方面，确定穿村过镇路段各个点位的整改建议和改造措施，包括但不限于必选项目和可选项目。</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研究员</w:t>
                  </w:r>
                  <w:r>
                    <w:rPr>
                      <w:rFonts w:ascii="仿宋_GB2312" w:hAnsi="仿宋_GB2312" w:cs="仿宋_GB2312" w:eastAsia="仿宋_GB2312"/>
                      <w:sz w:val="22"/>
                      <w:color w:val="000000"/>
                    </w:rPr>
                    <w:t>/</w:t>
                  </w:r>
                  <w:r>
                    <w:rPr>
                      <w:rFonts w:ascii="仿宋_GB2312" w:hAnsi="仿宋_GB2312" w:cs="仿宋_GB2312" w:eastAsia="仿宋_GB2312"/>
                      <w:sz w:val="22"/>
                      <w:color w:val="000000"/>
                    </w:rPr>
                    <w:t>高级工程师</w:t>
                  </w:r>
                  <w:r>
                    <w:rPr>
                      <w:rFonts w:ascii="仿宋_GB2312" w:hAnsi="仿宋_GB2312" w:cs="仿宋_GB2312" w:eastAsia="仿宋_GB2312"/>
                      <w:sz w:val="22"/>
                      <w:color w:val="000000"/>
                    </w:rPr>
                    <w:t>/</w:t>
                  </w:r>
                  <w:r>
                    <w:rPr>
                      <w:rFonts w:ascii="仿宋_GB2312" w:hAnsi="仿宋_GB2312" w:cs="仿宋_GB2312" w:eastAsia="仿宋_GB2312"/>
                      <w:sz w:val="22"/>
                      <w:color w:val="000000"/>
                    </w:rPr>
                    <w:t>团队核心技术成员</w:t>
                  </w:r>
                </w:p>
                <w:p>
                  <w:pPr>
                    <w:pStyle w:val="null3"/>
                    <w:jc w:val="center"/>
                  </w:pPr>
                </w:p>
              </w:tc>
              <w:tc>
                <w:tcPr>
                  <w:tcW w:type="dxa" w:w="1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8"/>
                  <w:vMerge/>
                  <w:tcBorders>
                    <w:top w:val="none" w:color="000000" w:sz="4"/>
                    <w:left w:val="single" w:color="000000" w:sz="4"/>
                    <w:bottom w:val="single" w:color="000000" w:sz="4"/>
                    <w:right w:val="single" w:color="000000" w:sz="4"/>
                  </w:tcBorders>
                </w:tcPr>
                <w:p/>
              </w:tc>
              <w:tc>
                <w:tcPr>
                  <w:tcW w:type="dxa" w:w="292"/>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每个穿村过镇路段交通管理安全设施提升工程方案设计报告。从工作量考量，平均每个路段改造方案设计需要</w:t>
                  </w:r>
                  <w:r>
                    <w:rPr>
                      <w:rFonts w:ascii="仿宋_GB2312" w:hAnsi="仿宋_GB2312" w:cs="仿宋_GB2312" w:eastAsia="仿宋_GB2312"/>
                      <w:sz w:val="22"/>
                      <w:color w:val="000000"/>
                    </w:rPr>
                    <w:t>2</w:t>
                  </w:r>
                  <w:r>
                    <w:rPr>
                      <w:rFonts w:ascii="仿宋_GB2312" w:hAnsi="仿宋_GB2312" w:cs="仿宋_GB2312" w:eastAsia="仿宋_GB2312"/>
                      <w:sz w:val="22"/>
                      <w:color w:val="000000"/>
                    </w:rPr>
                    <w:t>人开展，预计需要约</w:t>
                  </w:r>
                  <w:r>
                    <w:rPr>
                      <w:rFonts w:ascii="仿宋_GB2312" w:hAnsi="仿宋_GB2312" w:cs="仿宋_GB2312" w:eastAsia="仿宋_GB2312"/>
                      <w:sz w:val="22"/>
                      <w:color w:val="000000"/>
                    </w:rPr>
                    <w:t>0.5</w:t>
                  </w:r>
                  <w:r>
                    <w:rPr>
                      <w:rFonts w:ascii="仿宋_GB2312" w:hAnsi="仿宋_GB2312" w:cs="仿宋_GB2312" w:eastAsia="仿宋_GB2312"/>
                      <w:sz w:val="22"/>
                      <w:color w:val="000000"/>
                    </w:rPr>
                    <w:t>天。</w:t>
                  </w:r>
                </w:p>
              </w:tc>
              <w:tc>
                <w:tcPr>
                  <w:tcW w:type="dxa" w:w="311"/>
                  <w:vMerge/>
                  <w:tcBorders>
                    <w:top w:val="none" w:color="000000" w:sz="4"/>
                    <w:left w:val="single" w:color="000000" w:sz="4"/>
                    <w:bottom w:val="single" w:color="000000" w:sz="4"/>
                    <w:right w:val="single" w:color="000000" w:sz="4"/>
                  </w:tcBorders>
                </w:tcPr>
                <w:p/>
              </w:tc>
              <w:tc>
                <w:tcPr>
                  <w:tcW w:type="dxa" w:w="178"/>
                  <w:vMerge/>
                  <w:tcBorders>
                    <w:top w:val="single" w:color="000000" w:sz="4"/>
                    <w:left w:val="single" w:color="000000" w:sz="4"/>
                    <w:bottom w:val="single" w:color="000000" w:sz="4"/>
                    <w:right w:val="single" w:color="000000" w:sz="4"/>
                  </w:tcBorders>
                </w:tc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农村地区穿村过镇路段交通管理安全设施提升工程施工图编制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完成每个穿村过镇路段交通管理安全设施提升工程施工图编制。每个穿村过镇路段施工图包括但不限于以下</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种图纸：</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）穿村过镇路段现状总平面布置图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）穿村过镇路段安全设施提升总体平面布置图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）安全设施标准横断面布置图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）关键点位安全设施布置图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）交通标志版面布置图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）交通标志结构设计图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）交通标线设计大样图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）隔离护栏结构设计图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）红绿灯结构设计图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）爆闪灯结构设计图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）监控设施设计图</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研究员</w:t>
                  </w:r>
                  <w:r>
                    <w:rPr>
                      <w:rFonts w:ascii="仿宋_GB2312" w:hAnsi="仿宋_GB2312" w:cs="仿宋_GB2312" w:eastAsia="仿宋_GB2312"/>
                      <w:sz w:val="22"/>
                      <w:color w:val="000000"/>
                    </w:rPr>
                    <w:t>/</w:t>
                  </w:r>
                  <w:r>
                    <w:rPr>
                      <w:rFonts w:ascii="仿宋_GB2312" w:hAnsi="仿宋_GB2312" w:cs="仿宋_GB2312" w:eastAsia="仿宋_GB2312"/>
                      <w:sz w:val="22"/>
                      <w:color w:val="000000"/>
                    </w:rPr>
                    <w:t>高级工程师</w:t>
                  </w:r>
                  <w:r>
                    <w:rPr>
                      <w:rFonts w:ascii="仿宋_GB2312" w:hAnsi="仿宋_GB2312" w:cs="仿宋_GB2312" w:eastAsia="仿宋_GB2312"/>
                      <w:sz w:val="22"/>
                      <w:color w:val="000000"/>
                    </w:rPr>
                    <w:t>/</w:t>
                  </w:r>
                  <w:r>
                    <w:rPr>
                      <w:rFonts w:ascii="仿宋_GB2312" w:hAnsi="仿宋_GB2312" w:cs="仿宋_GB2312" w:eastAsia="仿宋_GB2312"/>
                      <w:sz w:val="22"/>
                      <w:color w:val="000000"/>
                    </w:rPr>
                    <w:t>团队核心技术成员</w:t>
                  </w:r>
                </w:p>
                <w:p>
                  <w:pPr>
                    <w:pStyle w:val="null3"/>
                    <w:jc w:val="center"/>
                  </w:pPr>
                </w:p>
              </w:tc>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8"/>
                  <w:vMerge/>
                  <w:tcBorders>
                    <w:top w:val="none" w:color="000000" w:sz="4"/>
                    <w:left w:val="single" w:color="000000" w:sz="4"/>
                    <w:bottom w:val="single" w:color="000000" w:sz="4"/>
                    <w:right w:val="single" w:color="000000" w:sz="4"/>
                  </w:tcBorders>
                </w:tcPr>
                <w:p/>
              </w:tc>
              <w:tc>
                <w:tcPr>
                  <w:tcW w:type="dxa" w:w="292"/>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每个穿村过镇路段交通管理安全设施提升工程施工图纸</w:t>
                  </w:r>
                  <w:r>
                    <w:rPr>
                      <w:rFonts w:ascii="仿宋_GB2312" w:hAnsi="仿宋_GB2312" w:cs="仿宋_GB2312" w:eastAsia="仿宋_GB2312"/>
                      <w:sz w:val="22"/>
                      <w:color w:val="000000"/>
                    </w:rPr>
                    <w:t>1</w:t>
                  </w:r>
                  <w:r>
                    <w:rPr>
                      <w:rFonts w:ascii="仿宋_GB2312" w:hAnsi="仿宋_GB2312" w:cs="仿宋_GB2312" w:eastAsia="仿宋_GB2312"/>
                      <w:sz w:val="22"/>
                      <w:color w:val="000000"/>
                    </w:rPr>
                    <w:t>册。从工作量考量，平均每个路段设计图纸编制需要</w:t>
                  </w:r>
                  <w:r>
                    <w:rPr>
                      <w:rFonts w:ascii="仿宋_GB2312" w:hAnsi="仿宋_GB2312" w:cs="仿宋_GB2312" w:eastAsia="仿宋_GB2312"/>
                      <w:sz w:val="22"/>
                      <w:color w:val="000000"/>
                    </w:rPr>
                    <w:t>2</w:t>
                  </w:r>
                  <w:r>
                    <w:rPr>
                      <w:rFonts w:ascii="仿宋_GB2312" w:hAnsi="仿宋_GB2312" w:cs="仿宋_GB2312" w:eastAsia="仿宋_GB2312"/>
                      <w:sz w:val="22"/>
                      <w:color w:val="000000"/>
                    </w:rPr>
                    <w:t>人开展，预计需要约</w:t>
                  </w:r>
                  <w:r>
                    <w:rPr>
                      <w:rFonts w:ascii="仿宋_GB2312" w:hAnsi="仿宋_GB2312" w:cs="仿宋_GB2312" w:eastAsia="仿宋_GB2312"/>
                      <w:sz w:val="22"/>
                      <w:color w:val="000000"/>
                    </w:rPr>
                    <w:t>2</w:t>
                  </w:r>
                  <w:r>
                    <w:rPr>
                      <w:rFonts w:ascii="仿宋_GB2312" w:hAnsi="仿宋_GB2312" w:cs="仿宋_GB2312" w:eastAsia="仿宋_GB2312"/>
                      <w:sz w:val="22"/>
                      <w:color w:val="000000"/>
                    </w:rPr>
                    <w:t>天。</w:t>
                  </w:r>
                </w:p>
              </w:tc>
              <w:tc>
                <w:tcPr>
                  <w:tcW w:type="dxa" w:w="311"/>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穿村过镇路段交通管理安全设施提升工程主要工程数量表设计</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根据穿村过镇路段城交通管理安全设施提升工程施工图，给出改造方案中涉及的各类主要工程量，包括但不限于：</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标志设置一览表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标线设置一览表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红绿灯、爆闪灯、监控设施设置一览表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护栏设置一览表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拆除现有安全设施一览表</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研究员</w:t>
                  </w:r>
                  <w:r>
                    <w:rPr>
                      <w:rFonts w:ascii="仿宋_GB2312" w:hAnsi="仿宋_GB2312" w:cs="仿宋_GB2312" w:eastAsia="仿宋_GB2312"/>
                      <w:sz w:val="22"/>
                      <w:color w:val="000000"/>
                    </w:rPr>
                    <w:t>/</w:t>
                  </w:r>
                  <w:r>
                    <w:rPr>
                      <w:rFonts w:ascii="仿宋_GB2312" w:hAnsi="仿宋_GB2312" w:cs="仿宋_GB2312" w:eastAsia="仿宋_GB2312"/>
                      <w:sz w:val="22"/>
                      <w:color w:val="000000"/>
                    </w:rPr>
                    <w:t>高级工程师</w:t>
                  </w:r>
                  <w:r>
                    <w:rPr>
                      <w:rFonts w:ascii="仿宋_GB2312" w:hAnsi="仿宋_GB2312" w:cs="仿宋_GB2312" w:eastAsia="仿宋_GB2312"/>
                      <w:sz w:val="22"/>
                      <w:color w:val="000000"/>
                    </w:rPr>
                    <w:t>/</w:t>
                  </w:r>
                  <w:r>
                    <w:rPr>
                      <w:rFonts w:ascii="仿宋_GB2312" w:hAnsi="仿宋_GB2312" w:cs="仿宋_GB2312" w:eastAsia="仿宋_GB2312"/>
                      <w:sz w:val="22"/>
                      <w:color w:val="000000"/>
                    </w:rPr>
                    <w:t>团队核心技术成员</w:t>
                  </w:r>
                </w:p>
                <w:p>
                  <w:pPr>
                    <w:pStyle w:val="null3"/>
                    <w:jc w:val="center"/>
                  </w:pPr>
                </w:p>
              </w:tc>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8"/>
                  <w:vMerge/>
                  <w:tcBorders>
                    <w:top w:val="none" w:color="000000" w:sz="4"/>
                    <w:left w:val="single" w:color="000000" w:sz="4"/>
                    <w:bottom w:val="single" w:color="000000" w:sz="4"/>
                    <w:right w:val="single" w:color="000000" w:sz="4"/>
                  </w:tcBorders>
                </w:tcPr>
                <w:p/>
              </w:tc>
              <w:tc>
                <w:tcPr>
                  <w:tcW w:type="dxa" w:w="292"/>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完成每个农村地区</w:t>
                  </w:r>
                  <w:r>
                    <w:rPr>
                      <w:rFonts w:ascii="仿宋_GB2312" w:hAnsi="仿宋_GB2312" w:cs="仿宋_GB2312" w:eastAsia="仿宋_GB2312"/>
                      <w:sz w:val="22"/>
                      <w:color w:val="000000"/>
                    </w:rPr>
                    <w:t>穿村过镇路段</w:t>
                  </w:r>
                  <w:r>
                    <w:rPr>
                      <w:rFonts w:ascii="仿宋_GB2312" w:hAnsi="仿宋_GB2312" w:cs="仿宋_GB2312" w:eastAsia="仿宋_GB2312"/>
                      <w:sz w:val="22"/>
                      <w:color w:val="000000"/>
                    </w:rPr>
                    <w:t>交通管理安全设施提升工程主要工程数量表设计</w:t>
                  </w:r>
                  <w:r>
                    <w:rPr>
                      <w:rFonts w:ascii="仿宋_GB2312" w:hAnsi="仿宋_GB2312" w:cs="仿宋_GB2312" w:eastAsia="仿宋_GB2312"/>
                      <w:sz w:val="22"/>
                      <w:color w:val="000000"/>
                    </w:rPr>
                    <w:t>。根据工作开展时间节点实施，从工作量考量，平均每个路段需要</w:t>
                  </w:r>
                  <w:r>
                    <w:rPr>
                      <w:rFonts w:ascii="仿宋_GB2312" w:hAnsi="仿宋_GB2312" w:cs="仿宋_GB2312" w:eastAsia="仿宋_GB2312"/>
                      <w:sz w:val="22"/>
                      <w:color w:val="000000"/>
                    </w:rPr>
                    <w:t>1</w:t>
                  </w:r>
                  <w:r>
                    <w:rPr>
                      <w:rFonts w:ascii="仿宋_GB2312" w:hAnsi="仿宋_GB2312" w:cs="仿宋_GB2312" w:eastAsia="仿宋_GB2312"/>
                      <w:sz w:val="22"/>
                      <w:color w:val="000000"/>
                    </w:rPr>
                    <w:t>人开展，预计</w:t>
                  </w:r>
                  <w:r>
                    <w:rPr>
                      <w:rFonts w:ascii="仿宋_GB2312" w:hAnsi="仿宋_GB2312" w:cs="仿宋_GB2312" w:eastAsia="仿宋_GB2312"/>
                      <w:sz w:val="22"/>
                      <w:color w:val="000000"/>
                    </w:rPr>
                    <w:t>需要约</w:t>
                  </w:r>
                  <w:r>
                    <w:rPr>
                      <w:rFonts w:ascii="仿宋_GB2312" w:hAnsi="仿宋_GB2312" w:cs="仿宋_GB2312" w:eastAsia="仿宋_GB2312"/>
                      <w:sz w:val="22"/>
                      <w:color w:val="000000"/>
                    </w:rPr>
                    <w:t>0.5</w:t>
                  </w:r>
                  <w:r>
                    <w:rPr>
                      <w:rFonts w:ascii="仿宋_GB2312" w:hAnsi="仿宋_GB2312" w:cs="仿宋_GB2312" w:eastAsia="仿宋_GB2312"/>
                      <w:sz w:val="22"/>
                      <w:color w:val="000000"/>
                    </w:rPr>
                    <w:t>天。</w:t>
                  </w:r>
                </w:p>
              </w:tc>
              <w:tc>
                <w:tcPr>
                  <w:tcW w:type="dxa" w:w="311"/>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三</w:t>
                  </w:r>
                </w:p>
              </w:tc>
              <w:tc>
                <w:tcPr>
                  <w:tcW w:type="dxa" w:w="21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穿村过镇路段交通管理安全设施提升工程预算编制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穿村过镇路段交通管理安全设施提升工程预算编制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按照交通运输部《公路工程建设项目估算编制办法》（</w:t>
                  </w:r>
                  <w:r>
                    <w:rPr>
                      <w:rFonts w:ascii="仿宋_GB2312" w:hAnsi="仿宋_GB2312" w:cs="仿宋_GB2312" w:eastAsia="仿宋_GB2312"/>
                      <w:sz w:val="22"/>
                      <w:color w:val="000000"/>
                    </w:rPr>
                    <w:t>JTG 3830-2018</w:t>
                  </w:r>
                  <w:r>
                    <w:rPr>
                      <w:rFonts w:ascii="仿宋_GB2312" w:hAnsi="仿宋_GB2312" w:cs="仿宋_GB2312" w:eastAsia="仿宋_GB2312"/>
                      <w:sz w:val="22"/>
                      <w:color w:val="000000"/>
                    </w:rPr>
                    <w:t>）进行工程预算文件编制，并考虑不同地区的地材价格存在差异，预算文件包括公路养护工程费、设备购置费用、项目管理费等。</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研究员</w:t>
                  </w:r>
                  <w:r>
                    <w:rPr>
                      <w:rFonts w:ascii="仿宋_GB2312" w:hAnsi="仿宋_GB2312" w:cs="仿宋_GB2312" w:eastAsia="仿宋_GB2312"/>
                      <w:sz w:val="22"/>
                      <w:color w:val="000000"/>
                    </w:rPr>
                    <w:t>/</w:t>
                  </w:r>
                  <w:r>
                    <w:rPr>
                      <w:rFonts w:ascii="仿宋_GB2312" w:hAnsi="仿宋_GB2312" w:cs="仿宋_GB2312" w:eastAsia="仿宋_GB2312"/>
                      <w:sz w:val="22"/>
                      <w:color w:val="000000"/>
                    </w:rPr>
                    <w:t>高级工程师</w:t>
                  </w:r>
                  <w:r>
                    <w:rPr>
                      <w:rFonts w:ascii="仿宋_GB2312" w:hAnsi="仿宋_GB2312" w:cs="仿宋_GB2312" w:eastAsia="仿宋_GB2312"/>
                      <w:sz w:val="22"/>
                      <w:color w:val="000000"/>
                    </w:rPr>
                    <w:t>/</w:t>
                  </w:r>
                  <w:r>
                    <w:rPr>
                      <w:rFonts w:ascii="仿宋_GB2312" w:hAnsi="仿宋_GB2312" w:cs="仿宋_GB2312" w:eastAsia="仿宋_GB2312"/>
                      <w:sz w:val="22"/>
                      <w:color w:val="000000"/>
                    </w:rPr>
                    <w:t>团队核心技术成员</w:t>
                  </w:r>
                </w:p>
                <w:p>
                  <w:pPr>
                    <w:pStyle w:val="null3"/>
                    <w:jc w:val="center"/>
                  </w:pPr>
                </w:p>
              </w:tc>
              <w:tc>
                <w:tcPr>
                  <w:tcW w:type="dxa" w:w="1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8"/>
                  <w:vMerge/>
                  <w:tcBorders>
                    <w:top w:val="none" w:color="000000" w:sz="4"/>
                    <w:left w:val="single" w:color="000000" w:sz="4"/>
                    <w:bottom w:val="single" w:color="000000" w:sz="4"/>
                    <w:right w:val="single" w:color="000000" w:sz="4"/>
                  </w:tcBorders>
                </w:tcPr>
                <w:p/>
              </w:tc>
              <w:tc>
                <w:tcPr>
                  <w:tcW w:type="dxa" w:w="292"/>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完成每个农村地区</w:t>
                  </w:r>
                  <w:r>
                    <w:rPr>
                      <w:rFonts w:ascii="仿宋_GB2312" w:hAnsi="仿宋_GB2312" w:cs="仿宋_GB2312" w:eastAsia="仿宋_GB2312"/>
                      <w:sz w:val="22"/>
                      <w:color w:val="000000"/>
                    </w:rPr>
                    <w:t>穿村过镇路段</w:t>
                  </w:r>
                  <w:r>
                    <w:rPr>
                      <w:rFonts w:ascii="仿宋_GB2312" w:hAnsi="仿宋_GB2312" w:cs="仿宋_GB2312" w:eastAsia="仿宋_GB2312"/>
                      <w:sz w:val="22"/>
                      <w:color w:val="000000"/>
                    </w:rPr>
                    <w:t>交通管理安全设施提升工程预算表</w:t>
                  </w:r>
                  <w:r>
                    <w:rPr>
                      <w:rFonts w:ascii="仿宋_GB2312" w:hAnsi="仿宋_GB2312" w:cs="仿宋_GB2312" w:eastAsia="仿宋_GB2312"/>
                      <w:sz w:val="22"/>
                      <w:color w:val="000000"/>
                    </w:rPr>
                    <w:t>。从工作量考量，平均每个路段</w:t>
                  </w:r>
                  <w:r>
                    <w:rPr>
                      <w:rFonts w:ascii="仿宋_GB2312" w:hAnsi="仿宋_GB2312" w:cs="仿宋_GB2312" w:eastAsia="仿宋_GB2312"/>
                      <w:sz w:val="22"/>
                      <w:color w:val="000000"/>
                    </w:rPr>
                    <w:t>的预算编制</w:t>
                  </w:r>
                  <w:r>
                    <w:rPr>
                      <w:rFonts w:ascii="仿宋_GB2312" w:hAnsi="仿宋_GB2312" w:cs="仿宋_GB2312" w:eastAsia="仿宋_GB2312"/>
                      <w:sz w:val="22"/>
                      <w:color w:val="000000"/>
                    </w:rPr>
                    <w:t>需要</w:t>
                  </w:r>
                  <w:r>
                    <w:rPr>
                      <w:rFonts w:ascii="仿宋_GB2312" w:hAnsi="仿宋_GB2312" w:cs="仿宋_GB2312" w:eastAsia="仿宋_GB2312"/>
                      <w:sz w:val="22"/>
                      <w:color w:val="000000"/>
                    </w:rPr>
                    <w:t>2</w:t>
                  </w:r>
                  <w:r>
                    <w:rPr>
                      <w:rFonts w:ascii="仿宋_GB2312" w:hAnsi="仿宋_GB2312" w:cs="仿宋_GB2312" w:eastAsia="仿宋_GB2312"/>
                      <w:sz w:val="22"/>
                      <w:color w:val="000000"/>
                    </w:rPr>
                    <w:t>人开展，预计</w:t>
                  </w:r>
                  <w:r>
                    <w:rPr>
                      <w:rFonts w:ascii="仿宋_GB2312" w:hAnsi="仿宋_GB2312" w:cs="仿宋_GB2312" w:eastAsia="仿宋_GB2312"/>
                      <w:sz w:val="22"/>
                      <w:color w:val="000000"/>
                    </w:rPr>
                    <w:t>需要约</w:t>
                  </w:r>
                  <w:r>
                    <w:rPr>
                      <w:rFonts w:ascii="仿宋_GB2312" w:hAnsi="仿宋_GB2312" w:cs="仿宋_GB2312" w:eastAsia="仿宋_GB2312"/>
                      <w:sz w:val="22"/>
                      <w:color w:val="000000"/>
                    </w:rPr>
                    <w:t>0.5</w:t>
                  </w:r>
                  <w:r>
                    <w:rPr>
                      <w:rFonts w:ascii="仿宋_GB2312" w:hAnsi="仿宋_GB2312" w:cs="仿宋_GB2312" w:eastAsia="仿宋_GB2312"/>
                      <w:sz w:val="22"/>
                      <w:color w:val="000000"/>
                    </w:rPr>
                    <w:t>天。</w:t>
                  </w:r>
                </w:p>
              </w:tc>
              <w:tc>
                <w:tcPr>
                  <w:tcW w:type="dxa" w:w="311"/>
                  <w:vMerge/>
                  <w:tcBorders>
                    <w:top w:val="none" w:color="000000" w:sz="4"/>
                    <w:left w:val="single" w:color="000000" w:sz="4"/>
                    <w:bottom w:val="single" w:color="000000" w:sz="4"/>
                    <w:right w:val="single" w:color="000000" w:sz="4"/>
                  </w:tcBorders>
                </w:tcPr>
                <w:p/>
              </w:tc>
              <w:tc>
                <w:tcPr>
                  <w:tcW w:type="dxa" w:w="178"/>
                  <w:vMerge/>
                  <w:tcBorders>
                    <w:top w:val="singl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30"/>
                <w:b/>
              </w:rPr>
              <w:t>四、预期成果材料清单</w:t>
            </w:r>
          </w:p>
          <w:p>
            <w:pPr>
              <w:pStyle w:val="null3"/>
              <w:ind w:firstLine="480"/>
              <w:jc w:val="both"/>
            </w:pPr>
            <w:r>
              <w:rPr>
                <w:rFonts w:ascii="仿宋_GB2312" w:hAnsi="仿宋_GB2312" w:cs="仿宋_GB2312" w:eastAsia="仿宋_GB2312"/>
                <w:sz w:val="24"/>
              </w:rPr>
              <w:t>最终成果为每个</w:t>
            </w:r>
            <w:r>
              <w:rPr>
                <w:rFonts w:ascii="仿宋_GB2312" w:hAnsi="仿宋_GB2312" w:cs="仿宋_GB2312" w:eastAsia="仿宋_GB2312"/>
                <w:sz w:val="24"/>
              </w:rPr>
              <w:t>区县</w:t>
            </w:r>
            <w:r>
              <w:rPr>
                <w:rFonts w:ascii="仿宋_GB2312" w:hAnsi="仿宋_GB2312" w:cs="仿宋_GB2312" w:eastAsia="仿宋_GB2312"/>
                <w:sz w:val="24"/>
              </w:rPr>
              <w:t>形成《</w:t>
            </w:r>
            <w:r>
              <w:rPr>
                <w:rFonts w:ascii="仿宋_GB2312" w:hAnsi="仿宋_GB2312" w:cs="仿宋_GB2312" w:eastAsia="仿宋_GB2312"/>
                <w:sz w:val="24"/>
              </w:rPr>
              <w:t>农村地区穿村过镇路段交通管理安全设施提升工程施工图设计</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册，</w:t>
            </w:r>
            <w:r>
              <w:rPr>
                <w:rFonts w:ascii="仿宋_GB2312" w:hAnsi="仿宋_GB2312" w:cs="仿宋_GB2312" w:eastAsia="仿宋_GB2312"/>
                <w:sz w:val="24"/>
              </w:rPr>
              <w:t>共</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册，合计不少于</w:t>
            </w:r>
            <w:r>
              <w:rPr>
                <w:rFonts w:ascii="仿宋_GB2312" w:hAnsi="仿宋_GB2312" w:cs="仿宋_GB2312" w:eastAsia="仿宋_GB2312"/>
                <w:sz w:val="24"/>
              </w:rPr>
              <w:t>6</w:t>
            </w:r>
            <w:r>
              <w:rPr>
                <w:rFonts w:ascii="仿宋_GB2312" w:hAnsi="仿宋_GB2312" w:cs="仿宋_GB2312" w:eastAsia="仿宋_GB2312"/>
                <w:sz w:val="24"/>
              </w:rPr>
              <w:t>00</w:t>
            </w:r>
            <w:r>
              <w:rPr>
                <w:rFonts w:ascii="仿宋_GB2312" w:hAnsi="仿宋_GB2312" w:cs="仿宋_GB2312" w:eastAsia="仿宋_GB2312"/>
                <w:sz w:val="24"/>
              </w:rPr>
              <w:t>个路段，其中单个路段的详细设计</w:t>
            </w:r>
            <w:r>
              <w:rPr>
                <w:rFonts w:ascii="仿宋_GB2312" w:hAnsi="仿宋_GB2312" w:cs="仿宋_GB2312" w:eastAsia="仿宋_GB2312"/>
                <w:sz w:val="24"/>
              </w:rPr>
              <w:t>材料清单如表</w:t>
            </w:r>
            <w:r>
              <w:rPr>
                <w:rFonts w:ascii="仿宋_GB2312" w:hAnsi="仿宋_GB2312" w:cs="仿宋_GB2312" w:eastAsia="仿宋_GB2312"/>
                <w:sz w:val="24"/>
              </w:rPr>
              <w:t>4.1</w:t>
            </w:r>
            <w:r>
              <w:rPr>
                <w:rFonts w:ascii="仿宋_GB2312" w:hAnsi="仿宋_GB2312" w:cs="仿宋_GB2312" w:eastAsia="仿宋_GB2312"/>
                <w:sz w:val="24"/>
              </w:rPr>
              <w:t>所示</w:t>
            </w:r>
            <w:r>
              <w:rPr>
                <w:rFonts w:ascii="仿宋_GB2312" w:hAnsi="仿宋_GB2312" w:cs="仿宋_GB2312" w:eastAsia="仿宋_GB2312"/>
                <w:sz w:val="24"/>
              </w:rPr>
              <w:t>，各路段根据实际情况会有所调整</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b/>
              </w:rPr>
              <w:t>表</w:t>
            </w:r>
            <w:r>
              <w:rPr>
                <w:rFonts w:ascii="仿宋_GB2312" w:hAnsi="仿宋_GB2312" w:cs="仿宋_GB2312" w:eastAsia="仿宋_GB2312"/>
                <w:sz w:val="24"/>
                <w:b/>
              </w:rPr>
              <w:t xml:space="preserve">4.1 </w:t>
            </w:r>
            <w:r>
              <w:rPr>
                <w:rFonts w:ascii="仿宋_GB2312" w:hAnsi="仿宋_GB2312" w:cs="仿宋_GB2312" w:eastAsia="仿宋_GB2312"/>
                <w:sz w:val="24"/>
                <w:b/>
              </w:rPr>
              <w:t>单个穿村过镇路段交通管理安全设施提升工程施工图</w:t>
            </w:r>
            <w:r>
              <w:rPr>
                <w:rFonts w:ascii="仿宋_GB2312" w:hAnsi="仿宋_GB2312" w:cs="仿宋_GB2312" w:eastAsia="仿宋_GB2312"/>
                <w:sz w:val="24"/>
                <w:b/>
              </w:rPr>
              <w:t>设计</w:t>
            </w:r>
            <w:r>
              <w:rPr>
                <w:rFonts w:ascii="仿宋_GB2312" w:hAnsi="仿宋_GB2312" w:cs="仿宋_GB2312" w:eastAsia="仿宋_GB2312"/>
                <w:sz w:val="24"/>
                <w:b/>
              </w:rPr>
              <w:t>材料清单</w:t>
            </w:r>
          </w:p>
          <w:p>
            <w:pPr>
              <w:pStyle w:val="null3"/>
              <w:jc w:val="center"/>
            </w:pPr>
            <w:r>
              <w:rPr>
                <w:rFonts w:ascii="仿宋_GB2312" w:hAnsi="仿宋_GB2312" w:cs="仿宋_GB2312" w:eastAsia="仿宋_GB2312"/>
                <w:sz w:val="21"/>
                <w:b/>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57"/>
              <w:gridCol w:w="818"/>
              <w:gridCol w:w="509"/>
              <w:gridCol w:w="1055"/>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材料名称</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总体设计说明书</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本</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包含项目概况、项目现状存在的问题及整治措施、对应的设计方案、施工技术要求，并写明施工注意事项等内容。</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穿村过镇路段现状总平面布置图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无人机航拍图，标注重要点位、道路现状和现有交通设施。</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穿村过镇路段</w:t>
                  </w:r>
                  <w:r>
                    <w:rPr>
                      <w:rFonts w:ascii="仿宋_GB2312" w:hAnsi="仿宋_GB2312" w:cs="仿宋_GB2312" w:eastAsia="仿宋_GB2312"/>
                      <w:sz w:val="21"/>
                    </w:rPr>
                    <w:t>安全设施提升</w:t>
                  </w:r>
                  <w:r>
                    <w:rPr>
                      <w:rFonts w:ascii="仿宋_GB2312" w:hAnsi="仿宋_GB2312" w:cs="仿宋_GB2312" w:eastAsia="仿宋_GB2312"/>
                      <w:sz w:val="21"/>
                    </w:rPr>
                    <w:t>总体平面布置图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采用无人机正摄图片或三维</w:t>
                  </w:r>
                  <w:r>
                    <w:rPr>
                      <w:rFonts w:ascii="仿宋_GB2312" w:hAnsi="仿宋_GB2312" w:cs="仿宋_GB2312" w:eastAsia="仿宋_GB2312"/>
                      <w:sz w:val="21"/>
                    </w:rPr>
                    <w:t>地形图为底图，按</w:t>
                  </w:r>
                  <w:r>
                    <w:rPr>
                      <w:rFonts w:ascii="仿宋_GB2312" w:hAnsi="仿宋_GB2312" w:cs="仿宋_GB2312" w:eastAsia="仿宋_GB2312"/>
                      <w:sz w:val="21"/>
                    </w:rPr>
                    <w:t>1:1000</w:t>
                  </w:r>
                  <w:r>
                    <w:rPr>
                      <w:rFonts w:ascii="仿宋_GB2312" w:hAnsi="仿宋_GB2312" w:cs="仿宋_GB2312" w:eastAsia="仿宋_GB2312"/>
                      <w:sz w:val="21"/>
                    </w:rPr>
                    <w:t>比例尺绘图，分幅绘制所有安全设施布置的位置、结构型式等内容。</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安全设施标准横断面布置图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在公路标准横断面图基础上进行布置相应的标志、标线。</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关键点位安全设施布置图</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重要点位的无人机正摄图片为底图，详细绘制所有安全设施布置的位置、结构型式等内容。</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标志版面布置图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各类交通标志版面布置图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标志结构设计图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各类交通标志结构、安装设置等设计施工图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交通</w:t>
                  </w:r>
                  <w:r>
                    <w:rPr>
                      <w:rFonts w:ascii="仿宋_GB2312" w:hAnsi="仿宋_GB2312" w:cs="仿宋_GB2312" w:eastAsia="仿宋_GB2312"/>
                      <w:sz w:val="21"/>
                    </w:rPr>
                    <w:t>标线设计大样图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各类交通标线尺寸、施划等设计施工图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隔离</w:t>
                  </w:r>
                  <w:r>
                    <w:rPr>
                      <w:rFonts w:ascii="仿宋_GB2312" w:hAnsi="仿宋_GB2312" w:cs="仿宋_GB2312" w:eastAsia="仿宋_GB2312"/>
                      <w:sz w:val="21"/>
                    </w:rPr>
                    <w:t>护栏结构设计图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波形梁、混凝土、隔离栏杆等</w:t>
                  </w:r>
                  <w:r>
                    <w:rPr>
                      <w:rFonts w:ascii="仿宋_GB2312" w:hAnsi="仿宋_GB2312" w:cs="仿宋_GB2312" w:eastAsia="仿宋_GB2312"/>
                      <w:sz w:val="21"/>
                    </w:rPr>
                    <w:t>类别、结构、设置等设计图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红绿灯结构设计图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红绿灯结构尺寸、安装设置等设计图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爆闪灯结构设计图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爆闪灯结构尺寸、安装设置等设计图</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监控设施设计图</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包含系统图、结构设计图等</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主要工程数量表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具体包括：</w:t>
                  </w:r>
                  <w:r>
                    <w:rPr>
                      <w:rFonts w:ascii="仿宋_GB2312" w:hAnsi="仿宋_GB2312" w:cs="仿宋_GB2312" w:eastAsia="仿宋_GB2312"/>
                      <w:sz w:val="21"/>
                    </w:rPr>
                    <w:t>标志设置一览表</w:t>
                  </w:r>
                  <w:r>
                    <w:rPr>
                      <w:rFonts w:ascii="仿宋_GB2312" w:hAnsi="仿宋_GB2312" w:cs="仿宋_GB2312" w:eastAsia="仿宋_GB2312"/>
                      <w:sz w:val="21"/>
                    </w:rPr>
                    <w:t>，</w:t>
                  </w:r>
                  <w:r>
                    <w:rPr>
                      <w:rFonts w:ascii="仿宋_GB2312" w:hAnsi="仿宋_GB2312" w:cs="仿宋_GB2312" w:eastAsia="仿宋_GB2312"/>
                      <w:sz w:val="21"/>
                    </w:rPr>
                    <w:t>标线设置一览表</w:t>
                  </w:r>
                  <w:r>
                    <w:rPr>
                      <w:rFonts w:ascii="仿宋_GB2312" w:hAnsi="仿宋_GB2312" w:cs="仿宋_GB2312" w:eastAsia="仿宋_GB2312"/>
                      <w:sz w:val="21"/>
                    </w:rPr>
                    <w:t>，</w:t>
                  </w:r>
                  <w:r>
                    <w:rPr>
                      <w:rFonts w:ascii="仿宋_GB2312" w:hAnsi="仿宋_GB2312" w:cs="仿宋_GB2312" w:eastAsia="仿宋_GB2312"/>
                      <w:sz w:val="21"/>
                    </w:rPr>
                    <w:t>红绿灯、爆闪灯、监控</w:t>
                  </w:r>
                  <w:r>
                    <w:rPr>
                      <w:rFonts w:ascii="仿宋_GB2312" w:hAnsi="仿宋_GB2312" w:cs="仿宋_GB2312" w:eastAsia="仿宋_GB2312"/>
                      <w:sz w:val="21"/>
                    </w:rPr>
                    <w:t>设施</w:t>
                  </w:r>
                  <w:r>
                    <w:rPr>
                      <w:rFonts w:ascii="仿宋_GB2312" w:hAnsi="仿宋_GB2312" w:cs="仿宋_GB2312" w:eastAsia="仿宋_GB2312"/>
                      <w:sz w:val="21"/>
                    </w:rPr>
                    <w:t>设置一览表</w:t>
                  </w:r>
                  <w:r>
                    <w:rPr>
                      <w:rFonts w:ascii="仿宋_GB2312" w:hAnsi="仿宋_GB2312" w:cs="仿宋_GB2312" w:eastAsia="仿宋_GB2312"/>
                      <w:sz w:val="21"/>
                    </w:rPr>
                    <w:t>，</w:t>
                  </w:r>
                  <w:r>
                    <w:rPr>
                      <w:rFonts w:ascii="仿宋_GB2312" w:hAnsi="仿宋_GB2312" w:cs="仿宋_GB2312" w:eastAsia="仿宋_GB2312"/>
                      <w:sz w:val="21"/>
                    </w:rPr>
                    <w:t>护栏设置一览表</w:t>
                  </w:r>
                  <w:r>
                    <w:rPr>
                      <w:rFonts w:ascii="仿宋_GB2312" w:hAnsi="仿宋_GB2312" w:cs="仿宋_GB2312" w:eastAsia="仿宋_GB2312"/>
                      <w:sz w:val="21"/>
                    </w:rPr>
                    <w:t>，</w:t>
                  </w:r>
                  <w:r>
                    <w:rPr>
                      <w:rFonts w:ascii="仿宋_GB2312" w:hAnsi="仿宋_GB2312" w:cs="仿宋_GB2312" w:eastAsia="仿宋_GB2312"/>
                      <w:sz w:val="21"/>
                    </w:rPr>
                    <w:t>“五必上”</w:t>
                  </w:r>
                  <w:r>
                    <w:rPr>
                      <w:rFonts w:ascii="仿宋_GB2312" w:hAnsi="仿宋_GB2312" w:cs="仿宋_GB2312" w:eastAsia="仿宋_GB2312"/>
                      <w:sz w:val="21"/>
                    </w:rPr>
                    <w:t>安全设施</w:t>
                  </w:r>
                  <w:r>
                    <w:rPr>
                      <w:rFonts w:ascii="仿宋_GB2312" w:hAnsi="仿宋_GB2312" w:cs="仿宋_GB2312" w:eastAsia="仿宋_GB2312"/>
                      <w:sz w:val="21"/>
                    </w:rPr>
                    <w:t>设置</w:t>
                  </w:r>
                  <w:r>
                    <w:rPr>
                      <w:rFonts w:ascii="仿宋_GB2312" w:hAnsi="仿宋_GB2312" w:cs="仿宋_GB2312" w:eastAsia="仿宋_GB2312"/>
                      <w:sz w:val="21"/>
                    </w:rPr>
                    <w:t>一览表</w:t>
                  </w:r>
                  <w:r>
                    <w:rPr>
                      <w:rFonts w:ascii="仿宋_GB2312" w:hAnsi="仿宋_GB2312" w:cs="仿宋_GB2312" w:eastAsia="仿宋_GB2312"/>
                      <w:sz w:val="21"/>
                    </w:rPr>
                    <w:t>等。</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提升工程造价总预算表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包括公路养护工程费、设备购置费用、项目管理费等。</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在项目合同签订并完成备案后，乙方开具合同总金额的30.00%预付款发票，并向甲方提出支付项目预付款申请，甲方在收到乙方申请及预付款发票后，根据财政资金拨付保障情况，支付预付款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根据项目实施情况及实际效果，经乙方提交项目进度款申请单并提供已完成工作量报表和有关资料，根据财政资金拨付保障情况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采购包1： 付款条件说明： 当乙方实施完成全部合同内任务，并完成验收及甲方组织的项目考核，经验收合格后，乙方应在7个工作日内开具与支付金额等额的发票，根据财政资金拨付保障情况，甲方向乙方支付项目剩余价款（合同总价款扣除已支付预付款、所有的处罚款项、项目进度款），若项目需进行结算审计，待审计完成后支付项目尾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 2.本合同签订后甲乙双方不得单方终止合同，如乙方违约，应退还预付款，并赔偿给甲方实际造成的损失，违约金为合同金额的5%；如甲方违约，乙方收取的预付款不予退还，违约金为合同金额的5%。 3.如因乙方存在以下行为，甲方有权终止合同，依法向乙方进行经济索赔，并报请政府采购监督管理机关进行相应的行政处罚。 ①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1.服务质量标准：符合国家和行业相关技术标准和规范要求。 2.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供应商应具备公路行业公路工程设计专业甲级资质或工程设计综合甲级资质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开标一览表.pdf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项目管理人员配置.docx 资格证明文件.docx 分项报价表.docx 投标函 残疾人福利性单位声明函 保证金交纳凭证.docx 服务方案 开标一览表.pdf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开标一览表 分项报价表.docx 开标一览表.pdf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开标一览表 分项报价表.docx 开标一览表.pdf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业绩.docx 服务内容及服务邀请应答表 商务应答表 服务方案 项目管理人员配置.docx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付款方式为实质性条款，供应商必须完全响应，不允许偏离，否则按照无效标处理。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业绩.docx 服务内容及服务邀请应答表 商务应答表 服务方案 项目管理人员配置.docx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根据项目工作特点提供完善的设计质量保证措施。 1.供应商的设计质量保证措施全面、合理，可行性强，得10分； 2.供应商的设计质量保证措施较全面、较合理，具有较强的可行性，得8分； 3.供应商的设计质量保证措施基本全面、基本合理，基本具有可行性，得6分； 4.供应商的设计质量保证措施全面性及合理性较差，可行性较差，得4分；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根据项目工作特点提供完善的设计进度保证措施。 1.供应商的设计进度保证措施全面、合理，可行性强，得10分； 2.供应商的设计进度保证措施较全面、较合理，具有较强的可行性，得8分； 3.供应商的设计进度保证措施基本全面、基本合理，基本具有可行性，得6分； 4.供应商的设计进度保证措施全面性及合理性较差，可行性较差，得4分；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应急突发事件处理措施</w:t>
            </w:r>
          </w:p>
        </w:tc>
        <w:tc>
          <w:tcPr>
            <w:tcW w:type="dxa" w:w="2492"/>
          </w:tcPr>
          <w:p>
            <w:pPr>
              <w:pStyle w:val="null3"/>
            </w:pPr>
            <w:r>
              <w:rPr>
                <w:rFonts w:ascii="仿宋_GB2312" w:hAnsi="仿宋_GB2312" w:cs="仿宋_GB2312" w:eastAsia="仿宋_GB2312"/>
              </w:rPr>
              <w:t>根据项目工作特点提供完善的应急突发事件处理措施。 1.应急突发事件处理措施内容完善、合理可行、针对性强的得10分； 2.应急突发事件处理措施内容较完善、较合理可行、针对性较强的得8分； 3.应急突发事件处理措施内容基本完善、合理、针对性一般的得6分； 4.应急突发事件处理措施内容宽泛、部分合理得4分；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后期服务措施</w:t>
            </w:r>
          </w:p>
        </w:tc>
        <w:tc>
          <w:tcPr>
            <w:tcW w:type="dxa" w:w="2492"/>
          </w:tcPr>
          <w:p>
            <w:pPr>
              <w:pStyle w:val="null3"/>
            </w:pPr>
            <w:r>
              <w:rPr>
                <w:rFonts w:ascii="仿宋_GB2312" w:hAnsi="仿宋_GB2312" w:cs="仿宋_GB2312" w:eastAsia="仿宋_GB2312"/>
              </w:rPr>
              <w:t>根据项目工作特点提供完善的后期服务措施。 1.供应商的后期服务措施全面、合理、针对性及可行性强，得10分； 2.供应商的后期服务措施较全面、合理、针对性及可行性较强，得8分； 3.供应商的后期服务措施基本全面、合理、基本具有针对性及可行性，得6分； 4.供应商的后期服务措施不全面、缺乏合理性、针对性及可行性差，得4分；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一、项目负责人（5分）： ①、具备相关专业高级工程师及以上职称，得2分，中级职称，得1分，未提供不得分； ②、提供近三年(2023年1月1日至本项目开标前)类似项目业绩，每提供一个得1.5分，最高不超过3分。 二、项目总工程师（技术负责人）（5分）： ①、具备相关专业高级工程师及以上职称，得2分，中级职称，得1分，未提供不得分； ②、提供近三年(2023年1月1日至本项目开标前)类似项目业绩，每提供一个得1.5分，最高不超过3分。 以投标文件中提供人员证件，合同复印件加盖单位公章为准，须复印清晰、可辨，复印模糊无法辨认的将不予评分。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项目管理人员配置.docx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投标人需提供科学、完整、合理、规范的设计方案。1.方案内容完整，分析全面、总体设计方案设计科学合理、描述条理清晰，可行性、安全性强，完全满足采购需求得15分； 2.方案内容较完整，分析较全面、总体设计方案设计较合理、描述条理较清晰，可行性较强，满足采购需求得12分； 3.方案内容一般，可行性一般，基本满足采购需求得9分； 4.方案内容不全，部分满足采购需求得6分； 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重点、难度分析</w:t>
            </w:r>
          </w:p>
        </w:tc>
        <w:tc>
          <w:tcPr>
            <w:tcW w:type="dxa" w:w="2492"/>
          </w:tcPr>
          <w:p>
            <w:pPr>
              <w:pStyle w:val="null3"/>
            </w:pPr>
            <w:r>
              <w:rPr>
                <w:rFonts w:ascii="仿宋_GB2312" w:hAnsi="仿宋_GB2312" w:cs="仿宋_GB2312" w:eastAsia="仿宋_GB2312"/>
              </w:rPr>
              <w:t>根据项目工作特点提供完善的重点、难度分析。 1.供应商的重点、难度分析全面、合理、针对性及可行性强，得10分； 2.供应商的重点、难度分析较全面、合理、针对性及可行性较强，得8分； 3.供应商的重点、难度分析基本全面、合理、基本具有针对性及可行性，得6分； 4.供应商的重点、难度分析不全面、缺乏合理性、针对性及可行性差，得4分；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对项目的理解和认识及设计思路</w:t>
            </w:r>
          </w:p>
        </w:tc>
        <w:tc>
          <w:tcPr>
            <w:tcW w:type="dxa" w:w="2492"/>
          </w:tcPr>
          <w:p>
            <w:pPr>
              <w:pStyle w:val="null3"/>
            </w:pPr>
            <w:r>
              <w:rPr>
                <w:rFonts w:ascii="仿宋_GB2312" w:hAnsi="仿宋_GB2312" w:cs="仿宋_GB2312" w:eastAsia="仿宋_GB2312"/>
              </w:rPr>
              <w:t>根据项目工作特点提供对项目的理解和认识及设计思路。 1.供应商对项目的理解和认识及设计思路全面、合理、针对性及可行性强，得5分； 2.供应商对项目的理解和认识及设计思路较全面、合理、针对性及可行性较强，得4分； 3.供应商对项目的理解和认识及设计思路基本全面、合理、基本具有针对性及可行性，得3分； 4.供应商对项目的理解和认识及设计思路不全面、缺乏合理性、针对性及可行性差，得2分；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供应商提供近三年(2023年1月1日至本项目开标前)类似项目业绩，每提供一个得2分，最高不超过10分。 以投标文件中提供的合同复印件加盖单位公章为准，须复印清晰、可辨，复印模糊无法辨认的将不予评分。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开标一览表.pdf</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开标一览表.pdf</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详见附件：项目管理人员配置.docx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numbering.xml" Type="http://schemas.openxmlformats.org/officeDocument/2006/relationships/numbering"/><Relationship Id="rId9"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