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版本号：JRZC-202511820260316001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高质量示范项目-数智专病库建设项目(二次)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JRZC-2025118</w:t>
      </w:r>
      <w:r>
        <w:br/>
      </w:r>
      <w:r>
        <w:br/>
      </w:r>
      <w:r>
        <w:br/>
      </w:r>
    </w:p>
    <w:p>
      <w:pPr>
        <w:pStyle w:val="null3"/>
        <w:jc w:val="center"/>
        <w:outlineLvl w:val="2"/>
      </w:pPr>
      <w:r>
        <w:rPr>
          <w:rFonts w:ascii="仿宋_GB2312" w:hAnsi="仿宋_GB2312" w:cs="仿宋_GB2312" w:eastAsia="仿宋_GB2312"/>
          <w:sz w:val="28"/>
          <w:b/>
        </w:rPr>
        <w:t>延安大学附属医院</w:t>
      </w:r>
    </w:p>
    <w:p>
      <w:pPr>
        <w:pStyle w:val="null3"/>
        <w:jc w:val="center"/>
        <w:outlineLvl w:val="2"/>
      </w:pPr>
      <w:r>
        <w:rPr>
          <w:rFonts w:ascii="仿宋_GB2312" w:hAnsi="仿宋_GB2312" w:cs="仿宋_GB2312" w:eastAsia="仿宋_GB2312"/>
          <w:sz w:val="28"/>
          <w:b/>
        </w:rPr>
        <w:t>陕西炬荣招标代理有限公司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陕西炬荣招标代理有限公司</w:t>
      </w:r>
      <w:r>
        <w:rPr>
          <w:rFonts w:ascii="仿宋_GB2312" w:hAnsi="仿宋_GB2312" w:cs="仿宋_GB2312" w:eastAsia="仿宋_GB2312"/>
        </w:rPr>
        <w:t>（以下简称“代理机构”）受</w:t>
      </w:r>
      <w:r>
        <w:rPr>
          <w:rFonts w:ascii="仿宋_GB2312" w:hAnsi="仿宋_GB2312" w:cs="仿宋_GB2312" w:eastAsia="仿宋_GB2312"/>
        </w:rPr>
        <w:t>延安大学附属医院</w:t>
      </w:r>
      <w:r>
        <w:rPr>
          <w:rFonts w:ascii="仿宋_GB2312" w:hAnsi="仿宋_GB2312" w:cs="仿宋_GB2312" w:eastAsia="仿宋_GB2312"/>
        </w:rPr>
        <w:t>委托，拟对</w:t>
      </w:r>
      <w:r>
        <w:rPr>
          <w:rFonts w:ascii="仿宋_GB2312" w:hAnsi="仿宋_GB2312" w:cs="仿宋_GB2312" w:eastAsia="仿宋_GB2312"/>
        </w:rPr>
        <w:t>高质量示范项目-数智专病库建设项目(二次)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JRZC-2025118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高质量示范项目-数智专病库建设项目(二次)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延安大学附属医院数智专病库项目紧密围绕延安大学附属医院建设“区域医疗中心”的战略定位，秉持“数据驱动诊疗、科研赋能临床”的核心理念，旨在构建覆盖消化道出血、高血压、妇科肿瘤三大重点学科的标准化专病数据库及智能化分析平台。 在建设内容上，项目将深度对接HIS、LIS、PACS等多源业务系统，打破院内数据孤岛，对分散的病历、影像、病理等结构化与非结构化数据进行深度融合与标准化治理。通过引入先进的数据挖掘、机器学习与因果推断算法，建立对标科学研究仓库（SCDM）标准的高质量专病资源池，实现从数据集成、质量控制到智能分析的全链路闭环。 项目建成后将为医院带来显著的临床、管理与科研效益： 1．提升临床与运营质效：针对消化道出血，构建全链条急救体系，优化“DRG时间消耗指数”与“四级手术占比”，支撑疑难病症诊治能力提升；针对高血压，打造数智化慢病管理范式，破解“药耗占比超标”痛点，提升基层首诊率；针对妇科肿瘤，推动精准诊疗，提升单病种质控达标率，直接助力医院在“国考”排名跃升。 2．驱动高水平科研转化：平台提供零代码智能分析工具，辅助医生挖掘疾病机制与预后因素，不仅能显著降低科研门槛，更能支撑省级以上课题申报与成果转化，培育具备国际视野的创新人才梯队。 3．引领区域协同发展：最终将打造陕北地区特色专病数据中心，通过“医防融合”与远程协作，带动区域内分级诊疗与疾病管理模式的创新升级。</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1、营业执照：具有独立承担民事责任能力的法人或其他组织，提供合法有效的统一社会信用代码的营业执照（附年度报告书）或事业单位法人证书等国家规定的相关证明，自然人参与的提供其身份证明；</w:t>
      </w:r>
    </w:p>
    <w:p>
      <w:pPr>
        <w:pStyle w:val="null3"/>
      </w:pPr>
      <w:r>
        <w:rPr>
          <w:rFonts w:ascii="仿宋_GB2312" w:hAnsi="仿宋_GB2312" w:cs="仿宋_GB2312" w:eastAsia="仿宋_GB2312"/>
        </w:rPr>
        <w:t>2、法定代表人授权书：法定代表人授权书（附法定代表人身份证复印件）及被授权人身份证（法定代表人直接参加只须提供法定代表人身份证）；</w:t>
      </w:r>
    </w:p>
    <w:p>
      <w:pPr>
        <w:pStyle w:val="null3"/>
      </w:pPr>
      <w:r>
        <w:rPr>
          <w:rFonts w:ascii="仿宋_GB2312" w:hAnsi="仿宋_GB2312" w:cs="仿宋_GB2312" w:eastAsia="仿宋_GB2312"/>
        </w:rPr>
        <w:t>3、税收缴纳证明：提供2025年度2月至2026年度2月份任意一个月份的缴税凭证或依法免税的供应商应提供相关文件证明；</w:t>
      </w:r>
    </w:p>
    <w:p>
      <w:pPr>
        <w:pStyle w:val="null3"/>
      </w:pPr>
      <w:r>
        <w:rPr>
          <w:rFonts w:ascii="仿宋_GB2312" w:hAnsi="仿宋_GB2312" w:cs="仿宋_GB2312" w:eastAsia="仿宋_GB2312"/>
        </w:rPr>
        <w:t>4、社会保障资金缴纳证明：提供2025年2月份至2026年2月份任意一个月份的社会保障资金缴存证明或社保机构开具的社会保险参保缴费情况证明；依法不需要缴纳社会保障资金的应提供相关文件证明；</w:t>
      </w:r>
    </w:p>
    <w:p>
      <w:pPr>
        <w:pStyle w:val="null3"/>
      </w:pPr>
      <w:r>
        <w:rPr>
          <w:rFonts w:ascii="仿宋_GB2312" w:hAnsi="仿宋_GB2312" w:cs="仿宋_GB2312" w:eastAsia="仿宋_GB2312"/>
        </w:rPr>
        <w:t>5、财务状况证明：供应商须提供2024年度的财务审计报告(成立时间至提交响应文件截止时间不足一年的可提供成立后任意时段的资产负债表)，或其基本存款账户开户银行出具的资信证明及基本存款账户开户信息；</w:t>
      </w:r>
    </w:p>
    <w:p>
      <w:pPr>
        <w:pStyle w:val="null3"/>
      </w:pPr>
      <w:r>
        <w:rPr>
          <w:rFonts w:ascii="仿宋_GB2312" w:hAnsi="仿宋_GB2312" w:cs="仿宋_GB2312" w:eastAsia="仿宋_GB2312"/>
        </w:rPr>
        <w:t>6、信用记录：提供《供应商信用记录书面声明函》（按格式填写）经查，投标单位未被列入“信用中国”网站记录的“严重失信主体”或“重大税收违法失信主体”名单；不处于“中国政府采购网”记录的“政府采购严重违法失信行为信息记录名单”中的禁止参加政府采购活动期间，且参加政府采购活动近三年内，在经营活动中没有重大违法记录；</w:t>
      </w:r>
    </w:p>
    <w:p>
      <w:pPr>
        <w:pStyle w:val="null3"/>
      </w:pPr>
      <w:r>
        <w:rPr>
          <w:rFonts w:ascii="仿宋_GB2312" w:hAnsi="仿宋_GB2312" w:cs="仿宋_GB2312" w:eastAsia="仿宋_GB2312"/>
        </w:rPr>
        <w:t>7、本项目不接受联合体投标：提供非联合体投标声明。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延安大学附属医院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陕西省延安市宝塔区北大街43号延安大学附属医院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0911-2881326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陕西炬荣招标代理有限公司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延安市新区大都荟B座501室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0911-8887276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采购包1：1,076,500.00元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代理服务费依据《国家发展改革委关于进一步放开建设项目专业服务价格的通知》发改价格〔2015〕299号参照原国家计委颁布的《招标代理服务收费管理暂行办法》（计价格[2002]1980号）及发改办价格[2003]857号文件的规定标准收取，由成交供应商在领取成交通知书前向采购代理机构一次性付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延安大学附属医院</w:t>
      </w:r>
      <w:r>
        <w:rPr>
          <w:rFonts w:ascii="仿宋_GB2312" w:hAnsi="仿宋_GB2312" w:cs="仿宋_GB2312" w:eastAsia="仿宋_GB2312"/>
        </w:rPr>
        <w:t>和</w:t>
      </w:r>
      <w:r>
        <w:rPr>
          <w:rFonts w:ascii="仿宋_GB2312" w:hAnsi="仿宋_GB2312" w:cs="仿宋_GB2312" w:eastAsia="仿宋_GB2312"/>
        </w:rPr>
        <w:t>陕西炬荣招标代理有限公司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延安大学附属医院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陕西炬荣招标代理有限公司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延安大学附属医院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陕西炬荣招标代理有限公司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满足三级等保要求、满足合同要求、满足招标文件技术要求、甲乙方监理方通过的实施方案及进度计划、项目过程资料的完整性、甲方项目管理相关要求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陕西炬荣招标代理有限公司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陕西炬荣招标代理有限公司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陕西炬荣招标代理有限公司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联系电话：0911-8887276</w:t>
      </w:r>
    </w:p>
    <w:p>
      <w:pPr>
        <w:pStyle w:val="null3"/>
      </w:pPr>
      <w:r>
        <w:rPr>
          <w:rFonts w:ascii="仿宋_GB2312" w:hAnsi="仿宋_GB2312" w:cs="仿宋_GB2312" w:eastAsia="仿宋_GB2312"/>
        </w:rPr>
        <w:t>地址：延安市新区大都荟B座501室</w:t>
      </w:r>
    </w:p>
    <w:p>
      <w:pPr>
        <w:pStyle w:val="null3"/>
      </w:pPr>
      <w:r>
        <w:rPr>
          <w:rFonts w:ascii="仿宋_GB2312" w:hAnsi="仿宋_GB2312" w:cs="仿宋_GB2312" w:eastAsia="仿宋_GB2312"/>
        </w:rPr>
        <w:t>邮编：716000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延安大学附属医院数智专病库项目紧密围绕延安大学附属医院建设“区域医疗中心”的战略定位，秉持“数据驱动诊疗、科研赋能临床”的核心理念，旨在构建覆盖消化道出血、高血压、妇科肿瘤三大重点学科的标准化专病数据库及智能化分析平台。 在建设内容上，项目将深度对接HIS、LIS、PACS等多源业务系统，打破院内数据孤岛，对分散的病历、影像、病理等结构化与非结构化数据进行深度融合与标准化治理。通过引入先进的数据挖掘、机器学习与因果推断算法，建立对标科学研究仓库（SCDM）标准的高质量专病资源池，实现从数据集成、质量控制到智能分析的全链路闭环。 项目建成后将为医院带来显著的临床、管理与科研效益： 1．提升临床与运营质效：针对消化道出血，构建全链条急救体系，优化“DRG时间消耗指数”与“四级手术占比”，支撑疑难病症诊治能力提升；针对高血压，打造数智化慢病管理范式，破解“药耗占比超标”痛点，提升基层首诊率；针对妇科肿瘤，推动精准诊疗，提升单病种质控达标率，直接助力医院在“国考”排名跃升。 2．驱动高水平科研转化：平台提供零代码智能分析工具，辅助医生挖掘疾病机制与预后因素，不仅能显著降低科研门槛，更能支撑省级以上课题申报与成果转化，培育具备国际视野的创新人才梯队。 3．引领区域协同发展：最终将打造陕北地区特色专病数据中心，通过“医防融合”与远程协作，带动区域内分级诊疗与疾病管理模式的创新升级。</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1,076,500.00</w:t>
      </w:r>
    </w:p>
    <w:p>
      <w:pPr>
        <w:pStyle w:val="null3"/>
      </w:pPr>
      <w:r>
        <w:rPr>
          <w:rFonts w:ascii="仿宋_GB2312" w:hAnsi="仿宋_GB2312" w:cs="仿宋_GB2312" w:eastAsia="仿宋_GB2312"/>
        </w:rPr>
        <w:t>采购包最高限价（元）: 1,076,500.00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数智专病库建设项目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1,076,500.00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标的名称：数智专病库建设项目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435"/>
              <w:outlineLvl w:val="0"/>
            </w:pPr>
            <w:r>
              <w:rPr>
                <w:rFonts w:ascii="仿宋_GB2312" w:hAnsi="仿宋_GB2312" w:cs="仿宋_GB2312" w:eastAsia="仿宋_GB2312"/>
                <w:sz w:val="24"/>
                <w:b/>
              </w:rPr>
              <w:t>1</w:t>
            </w:r>
            <w:r>
              <w:rPr>
                <w:rFonts w:ascii="仿宋_GB2312" w:hAnsi="仿宋_GB2312" w:cs="仿宋_GB2312" w:eastAsia="仿宋_GB2312"/>
                <w:sz w:val="24"/>
                <w:b/>
              </w:rPr>
              <w:t>建设目标</w:t>
            </w:r>
          </w:p>
          <w:p>
            <w:pPr>
              <w:pStyle w:val="null3"/>
              <w:ind w:firstLine="480"/>
            </w:pPr>
            <w:r>
              <w:rPr>
                <w:rFonts w:ascii="仿宋_GB2312" w:hAnsi="仿宋_GB2312" w:cs="仿宋_GB2312" w:eastAsia="仿宋_GB2312"/>
                <w:sz w:val="24"/>
              </w:rPr>
              <w:t>本项目围绕延安大学附属医院建设区域医疗中心的发展定位，以</w:t>
            </w:r>
            <w:r>
              <w:rPr>
                <w:rFonts w:ascii="仿宋_GB2312" w:hAnsi="仿宋_GB2312" w:cs="仿宋_GB2312" w:eastAsia="仿宋_GB2312"/>
                <w:sz w:val="24"/>
              </w:rPr>
              <w:t>“数据驱动诊疗、科研赋能临床”为核心，构建消化道出血、高血压、妇科肿瘤三大专病数据库及智能化分析平台，实现以下目标：</w:t>
            </w:r>
          </w:p>
          <w:p>
            <w:pPr>
              <w:pStyle w:val="null3"/>
              <w:ind w:left="570"/>
              <w:outlineLvl w:val="1"/>
            </w:pPr>
            <w:r>
              <w:rPr>
                <w:rFonts w:ascii="仿宋_GB2312" w:hAnsi="仿宋_GB2312" w:cs="仿宋_GB2312" w:eastAsia="仿宋_GB2312"/>
                <w:sz w:val="24"/>
                <w:b/>
              </w:rPr>
              <w:t>1.1</w:t>
            </w:r>
            <w:r>
              <w:rPr>
                <w:rFonts w:ascii="仿宋_GB2312" w:hAnsi="仿宋_GB2312" w:cs="仿宋_GB2312" w:eastAsia="仿宋_GB2312"/>
                <w:sz w:val="24"/>
                <w:b/>
              </w:rPr>
              <w:t>总体目标</w:t>
            </w:r>
          </w:p>
          <w:p>
            <w:pPr>
              <w:pStyle w:val="null3"/>
              <w:outlineLvl w:val="2"/>
            </w:pPr>
            <w:r>
              <w:rPr>
                <w:rFonts w:ascii="仿宋_GB2312" w:hAnsi="仿宋_GB2312" w:cs="仿宋_GB2312" w:eastAsia="仿宋_GB2312"/>
                <w:sz w:val="24"/>
                <w:b/>
              </w:rPr>
              <w:t>1.1.1</w:t>
            </w:r>
            <w:r>
              <w:rPr>
                <w:rFonts w:ascii="仿宋_GB2312" w:hAnsi="仿宋_GB2312" w:cs="仿宋_GB2312" w:eastAsia="仿宋_GB2312"/>
                <w:sz w:val="24"/>
                <w:b/>
              </w:rPr>
              <w:t>规范科研数据库</w:t>
            </w:r>
          </w:p>
          <w:p>
            <w:pPr>
              <w:pStyle w:val="null3"/>
              <w:ind w:firstLine="480"/>
            </w:pPr>
            <w:r>
              <w:rPr>
                <w:rFonts w:ascii="仿宋_GB2312" w:hAnsi="仿宋_GB2312" w:cs="仿宋_GB2312" w:eastAsia="仿宋_GB2312"/>
                <w:sz w:val="24"/>
              </w:rPr>
              <w:t>规范消化道出血、高血压、妇科肿瘤三个疾病领域相关的多源数据，搭建全面、精准、动态更新的专病数据资源平台。通过系统性收集临床诊疗、病例随访、基因检测等多维度信息，打破数据孤岛，实现数据的高效流通与共享。</w:t>
            </w:r>
          </w:p>
          <w:p>
            <w:pPr>
              <w:pStyle w:val="null3"/>
              <w:outlineLvl w:val="2"/>
            </w:pPr>
            <w:r>
              <w:rPr>
                <w:rFonts w:ascii="仿宋_GB2312" w:hAnsi="仿宋_GB2312" w:cs="仿宋_GB2312" w:eastAsia="仿宋_GB2312"/>
                <w:sz w:val="24"/>
                <w:b/>
              </w:rPr>
              <w:t>1.1.2</w:t>
            </w:r>
            <w:r>
              <w:rPr>
                <w:rFonts w:ascii="仿宋_GB2312" w:hAnsi="仿宋_GB2312" w:cs="仿宋_GB2312" w:eastAsia="仿宋_GB2312"/>
                <w:sz w:val="24"/>
                <w:b/>
              </w:rPr>
              <w:t>提供专病数据智能工具</w:t>
            </w:r>
          </w:p>
          <w:p>
            <w:pPr>
              <w:pStyle w:val="null3"/>
              <w:ind w:firstLine="480"/>
            </w:pPr>
            <w:r>
              <w:rPr>
                <w:rFonts w:ascii="仿宋_GB2312" w:hAnsi="仿宋_GB2312" w:cs="仿宋_GB2312" w:eastAsia="仿宋_GB2312"/>
                <w:sz w:val="24"/>
              </w:rPr>
              <w:t>利用先进的数据治理技术，保障数据的质量与安全，为临床医生提供便捷的数据查询与分析工具，辅助精准诊断与个性化治疗决策。同时，为医学科研人员提供丰富的数据支撑，助力挖掘疾病发病机制、治疗靶点及预后影响因素，推动科研成果转化，最终提升该专病的整体诊疗水平。</w:t>
            </w:r>
          </w:p>
          <w:p>
            <w:pPr>
              <w:pStyle w:val="null3"/>
              <w:outlineLvl w:val="2"/>
            </w:pPr>
            <w:r>
              <w:rPr>
                <w:rFonts w:ascii="仿宋_GB2312" w:hAnsi="仿宋_GB2312" w:cs="仿宋_GB2312" w:eastAsia="仿宋_GB2312"/>
                <w:sz w:val="24"/>
                <w:b/>
              </w:rPr>
              <w:t>1.1.3</w:t>
            </w:r>
            <w:r>
              <w:rPr>
                <w:rFonts w:ascii="仿宋_GB2312" w:hAnsi="仿宋_GB2312" w:cs="仿宋_GB2312" w:eastAsia="仿宋_GB2312"/>
                <w:sz w:val="24"/>
                <w:b/>
              </w:rPr>
              <w:t>科研能力突破升级</w:t>
            </w:r>
          </w:p>
          <w:p>
            <w:pPr>
              <w:pStyle w:val="null3"/>
              <w:ind w:firstLine="480"/>
            </w:pPr>
            <w:r>
              <w:rPr>
                <w:rFonts w:ascii="仿宋_GB2312" w:hAnsi="仿宋_GB2312" w:cs="仿宋_GB2312" w:eastAsia="仿宋_GB2312"/>
                <w:sz w:val="24"/>
              </w:rPr>
              <w:t>建立标准化、高质量专病数据资源池，支撑高水平临床研究，助力医院申报省级以上科研课题及学术成果转化。</w:t>
            </w:r>
          </w:p>
          <w:p>
            <w:pPr>
              <w:pStyle w:val="null3"/>
              <w:outlineLvl w:val="2"/>
            </w:pPr>
            <w:r>
              <w:rPr>
                <w:rFonts w:ascii="仿宋_GB2312" w:hAnsi="仿宋_GB2312" w:cs="仿宋_GB2312" w:eastAsia="仿宋_GB2312"/>
                <w:sz w:val="24"/>
                <w:b/>
              </w:rPr>
              <w:t>1.1.4</w:t>
            </w:r>
            <w:r>
              <w:rPr>
                <w:rFonts w:ascii="仿宋_GB2312" w:hAnsi="仿宋_GB2312" w:cs="仿宋_GB2312" w:eastAsia="仿宋_GB2312"/>
                <w:sz w:val="24"/>
                <w:b/>
              </w:rPr>
              <w:t>人才培养</w:t>
            </w:r>
          </w:p>
          <w:p>
            <w:pPr>
              <w:pStyle w:val="null3"/>
              <w:ind w:firstLine="480"/>
            </w:pPr>
            <w:r>
              <w:rPr>
                <w:rFonts w:ascii="仿宋_GB2312" w:hAnsi="仿宋_GB2312" w:cs="仿宋_GB2312" w:eastAsia="仿宋_GB2312"/>
                <w:sz w:val="24"/>
              </w:rPr>
              <w:t>借助专病库的数据支持与科研平台，培养一批具有国际视野、创新能力的科研人才，形成一支结构合理、素质优良的科研人才梯队，全面助力专科综合实力的提升。</w:t>
            </w:r>
          </w:p>
          <w:p>
            <w:pPr>
              <w:pStyle w:val="null3"/>
              <w:outlineLvl w:val="2"/>
            </w:pPr>
            <w:r>
              <w:rPr>
                <w:rFonts w:ascii="仿宋_GB2312" w:hAnsi="仿宋_GB2312" w:cs="仿宋_GB2312" w:eastAsia="仿宋_GB2312"/>
                <w:sz w:val="24"/>
                <w:b/>
              </w:rPr>
              <w:t>1.1.5</w:t>
            </w:r>
            <w:r>
              <w:rPr>
                <w:rFonts w:ascii="仿宋_GB2312" w:hAnsi="仿宋_GB2312" w:cs="仿宋_GB2312" w:eastAsia="仿宋_GB2312"/>
                <w:sz w:val="24"/>
                <w:b/>
              </w:rPr>
              <w:t>区域协同示范引领</w:t>
            </w:r>
          </w:p>
          <w:p>
            <w:pPr>
              <w:pStyle w:val="null3"/>
              <w:ind w:firstLine="480"/>
            </w:pPr>
            <w:r>
              <w:rPr>
                <w:rFonts w:ascii="仿宋_GB2312" w:hAnsi="仿宋_GB2312" w:cs="仿宋_GB2312" w:eastAsia="仿宋_GB2312"/>
                <w:sz w:val="24"/>
              </w:rPr>
              <w:t>打造陕北地区特色专病诊疗数据中心，推动区域内分级诊疗、远程会诊及疾病管理模式创新。</w:t>
            </w:r>
          </w:p>
          <w:p>
            <w:pPr>
              <w:pStyle w:val="null3"/>
              <w:ind w:left="570"/>
              <w:outlineLvl w:val="1"/>
            </w:pPr>
            <w:r>
              <w:rPr>
                <w:rFonts w:ascii="仿宋_GB2312" w:hAnsi="仿宋_GB2312" w:cs="仿宋_GB2312" w:eastAsia="仿宋_GB2312"/>
                <w:sz w:val="24"/>
                <w:b/>
              </w:rPr>
              <w:t>1.2</w:t>
            </w:r>
            <w:r>
              <w:rPr>
                <w:rFonts w:ascii="仿宋_GB2312" w:hAnsi="仿宋_GB2312" w:cs="仿宋_GB2312" w:eastAsia="仿宋_GB2312"/>
                <w:sz w:val="24"/>
                <w:b/>
              </w:rPr>
              <w:t>子目标</w:t>
            </w:r>
          </w:p>
          <w:p>
            <w:pPr>
              <w:pStyle w:val="null3"/>
              <w:outlineLvl w:val="2"/>
            </w:pPr>
            <w:r>
              <w:rPr>
                <w:rFonts w:ascii="仿宋_GB2312" w:hAnsi="仿宋_GB2312" w:cs="仿宋_GB2312" w:eastAsia="仿宋_GB2312"/>
                <w:sz w:val="24"/>
                <w:b/>
              </w:rPr>
              <w:t>1.2.1</w:t>
            </w:r>
            <w:r>
              <w:rPr>
                <w:rFonts w:ascii="仿宋_GB2312" w:hAnsi="仿宋_GB2312" w:cs="仿宋_GB2312" w:eastAsia="仿宋_GB2312"/>
                <w:sz w:val="24"/>
                <w:b/>
              </w:rPr>
              <w:t>消化道出血专病库</w:t>
            </w:r>
          </w:p>
          <w:p>
            <w:pPr>
              <w:pStyle w:val="null3"/>
              <w:ind w:firstLine="480"/>
            </w:pPr>
            <w:r>
              <w:rPr>
                <w:rFonts w:ascii="仿宋_GB2312" w:hAnsi="仿宋_GB2312" w:cs="仿宋_GB2312" w:eastAsia="仿宋_GB2312"/>
                <w:sz w:val="24"/>
              </w:rPr>
              <w:t>以消化道专病数据效能提升为核心抓手，提升急危重症救治能力，落实医疗质量安全核心制度，构建覆盖</w:t>
            </w:r>
            <w:r>
              <w:rPr>
                <w:rFonts w:ascii="仿宋_GB2312" w:hAnsi="仿宋_GB2312" w:cs="仿宋_GB2312" w:eastAsia="仿宋_GB2312"/>
                <w:sz w:val="24"/>
              </w:rPr>
              <w:t>"院前预警-院内急救-预后管理"的全链条数据赋能体系。通过多模态数据融合驱动诊疗路径标准化，强化高危患者MDT协同效率与基层转诊质量，系统性优化"四级手术占比""DRG时间消耗指数"及"重点病种死亡率"，同步建立区域性出血性疾病临床研究高地，为医院"疑难病症诊治能力提升工程"评审及区域医疗中心建设提供数据支撑。</w:t>
            </w:r>
          </w:p>
          <w:p>
            <w:pPr>
              <w:pStyle w:val="null3"/>
              <w:outlineLvl w:val="2"/>
            </w:pPr>
            <w:r>
              <w:rPr>
                <w:rFonts w:ascii="仿宋_GB2312" w:hAnsi="仿宋_GB2312" w:cs="仿宋_GB2312" w:eastAsia="仿宋_GB2312"/>
                <w:sz w:val="24"/>
                <w:b/>
              </w:rPr>
              <w:t>1.2.2</w:t>
            </w:r>
            <w:r>
              <w:rPr>
                <w:rFonts w:ascii="仿宋_GB2312" w:hAnsi="仿宋_GB2312" w:cs="仿宋_GB2312" w:eastAsia="仿宋_GB2312"/>
                <w:sz w:val="24"/>
                <w:b/>
              </w:rPr>
              <w:t>高血压专病库</w:t>
            </w:r>
          </w:p>
          <w:p>
            <w:pPr>
              <w:pStyle w:val="null3"/>
              <w:ind w:firstLine="480"/>
            </w:pPr>
            <w:r>
              <w:rPr>
                <w:rFonts w:ascii="仿宋_GB2312" w:hAnsi="仿宋_GB2312" w:cs="仿宋_GB2312" w:eastAsia="仿宋_GB2312"/>
                <w:sz w:val="24"/>
              </w:rPr>
              <w:t>瞄准</w:t>
            </w:r>
            <w:r>
              <w:rPr>
                <w:rFonts w:ascii="仿宋_GB2312" w:hAnsi="仿宋_GB2312" w:cs="仿宋_GB2312" w:eastAsia="仿宋_GB2312"/>
                <w:sz w:val="24"/>
              </w:rPr>
              <w:t>"慢性病综合防控示范区"多维度数据要求，关注"分级诊疗制度落实""医疗费用控制"等战略方向，打造"数智监测-精准干预-区域协同"三位一体的慢病管理范式。通过穿戴设备数据与电子病历深度耦合，赋能家庭-社区-医院三级防控网络，重点提升"基层首诊率""并发症筛查率""患者依从性"等关联指标，破解"CMI值提升受限""药耗占比超标"等医院运营痛点，构建具有区域示范效应的数智高血压管理模式，助力医院在"医防融合"改革中抢占战略先机。</w:t>
            </w:r>
          </w:p>
          <w:p>
            <w:pPr>
              <w:pStyle w:val="null3"/>
              <w:outlineLvl w:val="2"/>
            </w:pPr>
            <w:r>
              <w:rPr>
                <w:rFonts w:ascii="仿宋_GB2312" w:hAnsi="仿宋_GB2312" w:cs="仿宋_GB2312" w:eastAsia="仿宋_GB2312"/>
                <w:sz w:val="24"/>
                <w:b/>
              </w:rPr>
              <w:t>1.2.3</w:t>
            </w:r>
            <w:r>
              <w:rPr>
                <w:rFonts w:ascii="仿宋_GB2312" w:hAnsi="仿宋_GB2312" w:cs="仿宋_GB2312" w:eastAsia="仿宋_GB2312"/>
                <w:sz w:val="24"/>
                <w:b/>
              </w:rPr>
              <w:t>妇科肿瘤专病库</w:t>
            </w:r>
          </w:p>
          <w:p>
            <w:pPr>
              <w:pStyle w:val="null3"/>
              <w:ind w:firstLine="480"/>
            </w:pPr>
            <w:r>
              <w:rPr>
                <w:rFonts w:ascii="仿宋_GB2312" w:hAnsi="仿宋_GB2312" w:cs="仿宋_GB2312" w:eastAsia="仿宋_GB2312"/>
                <w:sz w:val="24"/>
              </w:rPr>
              <w:t>立足</w:t>
            </w:r>
            <w:r>
              <w:rPr>
                <w:rFonts w:ascii="仿宋_GB2312" w:hAnsi="仿宋_GB2312" w:cs="仿宋_GB2312" w:eastAsia="仿宋_GB2312"/>
                <w:sz w:val="24"/>
              </w:rPr>
              <w:t>"国家临床重点专科"建设目标，聚焦"医疗技术能力""科研转化成效"等高价值维度，建设"精准诊疗-全程管理-转化研究"深度融合的专病数据库及智能化分析平台，驱动诊疗方案个性化升级和临床研究范式革新，预期提升"四级手术微创化率""单病种质量控制达标率"及"科研成果临床转化率"，形成"技术突破-学科辐射-品牌增值"的良性发展闭环，为医院在"国考"排名跃升及区域专科联盟建设注入核心动能。</w:t>
            </w:r>
          </w:p>
          <w:p>
            <w:pPr>
              <w:pStyle w:val="null3"/>
              <w:ind w:left="570"/>
              <w:outlineLvl w:val="1"/>
            </w:pPr>
            <w:r>
              <w:rPr>
                <w:rFonts w:ascii="仿宋_GB2312" w:hAnsi="仿宋_GB2312" w:cs="仿宋_GB2312" w:eastAsia="仿宋_GB2312"/>
                <w:sz w:val="24"/>
                <w:b/>
              </w:rPr>
              <w:t>1.3</w:t>
            </w:r>
            <w:r>
              <w:rPr>
                <w:rFonts w:ascii="仿宋_GB2312" w:hAnsi="仿宋_GB2312" w:cs="仿宋_GB2312" w:eastAsia="仿宋_GB2312"/>
                <w:sz w:val="24"/>
                <w:b/>
              </w:rPr>
              <w:t>智能化专病数据资源整合</w:t>
            </w:r>
          </w:p>
          <w:p>
            <w:pPr>
              <w:pStyle w:val="null3"/>
              <w:ind w:firstLine="480"/>
            </w:pPr>
            <w:r>
              <w:rPr>
                <w:rFonts w:ascii="仿宋_GB2312" w:hAnsi="仿宋_GB2312" w:cs="仿宋_GB2312" w:eastAsia="仿宋_GB2312"/>
                <w:sz w:val="24"/>
              </w:rPr>
              <w:t>该平台通过对接医院内部各类信息系统，如</w:t>
            </w:r>
            <w:r>
              <w:rPr>
                <w:rFonts w:ascii="仿宋_GB2312" w:hAnsi="仿宋_GB2312" w:cs="仿宋_GB2312" w:eastAsia="仿宋_GB2312"/>
                <w:sz w:val="24"/>
              </w:rPr>
              <w:t>HIS、LIS、PACS 等，已积累了丰富的临床数据资源，为专病库建设提供了坚实的数据基础。将分散在不同系统中的结构化数据（如病历信息、检验检查结果）、半结构化数据（如影像报告、病理报告）以及非结构化数据如住院病历、医嘱、护理记录等）进行融合处理，确保数据的完整性和准确性。依据国家及行业标准，对整合后的数据进行标准化处理，包括数据格式统一、编码规范、术语标准化等，消除不同数据源之间的差异，提高数据的可比性和可用性。</w:t>
            </w:r>
          </w:p>
          <w:p>
            <w:pPr>
              <w:pStyle w:val="null3"/>
              <w:ind w:left="570"/>
              <w:outlineLvl w:val="1"/>
            </w:pPr>
            <w:r>
              <w:rPr>
                <w:rFonts w:ascii="仿宋_GB2312" w:hAnsi="仿宋_GB2312" w:cs="仿宋_GB2312" w:eastAsia="仿宋_GB2312"/>
                <w:sz w:val="24"/>
                <w:b/>
              </w:rPr>
              <w:t>1.4</w:t>
            </w:r>
            <w:r>
              <w:rPr>
                <w:rFonts w:ascii="仿宋_GB2312" w:hAnsi="仿宋_GB2312" w:cs="仿宋_GB2312" w:eastAsia="仿宋_GB2312"/>
                <w:sz w:val="24"/>
                <w:b/>
              </w:rPr>
              <w:t>专病库数据治理和分析应用</w:t>
            </w:r>
          </w:p>
          <w:p>
            <w:pPr>
              <w:pStyle w:val="null3"/>
              <w:ind w:firstLine="480"/>
            </w:pPr>
            <w:r>
              <w:rPr>
                <w:rFonts w:ascii="仿宋_GB2312" w:hAnsi="仿宋_GB2312" w:cs="仿宋_GB2312" w:eastAsia="仿宋_GB2312"/>
                <w:sz w:val="24"/>
              </w:rPr>
              <w:t>建立完善的专病数据治理体系包括对患者数据的全维度诊疗信息集成，如基础诊疗信息聚合、专科诊疗信息深度展示以及多模态数据可视化，确保数据的高质量治理。同时，对标科学研究仓库（</w:t>
            </w:r>
            <w:r>
              <w:rPr>
                <w:rFonts w:ascii="仿宋_GB2312" w:hAnsi="仿宋_GB2312" w:cs="仿宋_GB2312" w:eastAsia="仿宋_GB2312"/>
                <w:sz w:val="24"/>
              </w:rPr>
              <w:t>SCDM）的标准化纵向数据队列，实现患者全生命周期诊疗数据的可视化呈现，并通过智能评分模型辅助医生快速评估病历对专病库的价值，提升数据治理的效率和准确性。集成多种智能分析工具，如数据挖掘算法、机器学习模型、统计分析软件等，对专病数据进行深度分析。实现疾病风险预测、治疗方案推荐、预后评估等功能，为临床决策提供科学依据。集成横断面研究分析中的基础描述与关联分析、统计检验、诊断效能评估，以及目标实验模拟（TTE）模块中的目标试验协议定义、队列构建与数据适配、混杂控制与因果推断、效应估计和敏感性分析等功能。构建专病数据模型，明确各专病的关键数据元素和数据结构。同时支持科研人员通过简单配置实现从数据预处理、分析流程搭建到结果可视化的全链路智能化操作，无需编写代码即可完成复杂因果推断与关联性分析。</w:t>
            </w:r>
          </w:p>
          <w:p>
            <w:pPr>
              <w:pStyle w:val="null3"/>
              <w:ind w:left="570"/>
              <w:outlineLvl w:val="1"/>
            </w:pPr>
            <w:r>
              <w:rPr>
                <w:rFonts w:ascii="仿宋_GB2312" w:hAnsi="仿宋_GB2312" w:cs="仿宋_GB2312" w:eastAsia="仿宋_GB2312"/>
                <w:sz w:val="24"/>
                <w:b/>
              </w:rPr>
              <w:t>1.5</w:t>
            </w:r>
            <w:r>
              <w:rPr>
                <w:rFonts w:ascii="仿宋_GB2312" w:hAnsi="仿宋_GB2312" w:cs="仿宋_GB2312" w:eastAsia="仿宋_GB2312"/>
                <w:sz w:val="24"/>
                <w:b/>
              </w:rPr>
              <w:t>专病库在临床科研方面的应用领域</w:t>
            </w:r>
          </w:p>
          <w:p>
            <w:pPr>
              <w:pStyle w:val="null3"/>
              <w:ind w:firstLine="480"/>
            </w:pPr>
            <w:r>
              <w:rPr>
                <w:rFonts w:ascii="仿宋_GB2312" w:hAnsi="仿宋_GB2312" w:cs="仿宋_GB2312" w:eastAsia="仿宋_GB2312"/>
                <w:sz w:val="24"/>
              </w:rPr>
              <w:t>为临床科研人员提供丰富的数据资源和便捷的研究工具，助力开展各类临床研究项目。通过分析专病库中的数据，探索疾病的发生发展规律、发病机制、治疗效果等，为医学研究提供有力支持。基于专病库中的大数据分析结果，为制定和优化专病诊疗规范提供依据。总结临床经验，提炼最佳治疗方案，提高医疗服务的标准化和规范化水平。利用专病库的实时数据监测功能，对疾病的流行趋势、患者预后情况进行动态监测。及时发现潜在的疾病风险，为公共卫生决策和临床干预提供预警信息。</w:t>
            </w:r>
          </w:p>
          <w:p>
            <w:pPr>
              <w:pStyle w:val="null3"/>
              <w:ind w:left="570"/>
              <w:outlineLvl w:val="1"/>
            </w:pPr>
            <w:r>
              <w:rPr>
                <w:rFonts w:ascii="仿宋_GB2312" w:hAnsi="仿宋_GB2312" w:cs="仿宋_GB2312" w:eastAsia="仿宋_GB2312"/>
                <w:sz w:val="24"/>
                <w:b/>
              </w:rPr>
              <w:t>1.6</w:t>
            </w:r>
            <w:r>
              <w:rPr>
                <w:rFonts w:ascii="仿宋_GB2312" w:hAnsi="仿宋_GB2312" w:cs="仿宋_GB2312" w:eastAsia="仿宋_GB2312"/>
                <w:sz w:val="24"/>
                <w:b/>
              </w:rPr>
              <w:t>专病数据的对接和数据的安全保护</w:t>
            </w:r>
          </w:p>
          <w:p>
            <w:pPr>
              <w:pStyle w:val="null3"/>
              <w:ind w:firstLine="480"/>
            </w:pPr>
            <w:r>
              <w:rPr>
                <w:rFonts w:ascii="仿宋_GB2312" w:hAnsi="仿宋_GB2312" w:cs="仿宋_GB2312" w:eastAsia="仿宋_GB2312"/>
                <w:sz w:val="24"/>
              </w:rPr>
              <w:t>专病库的建设将与其他相关信息系统之间的无缝对接。实现数据的安全传输和共享，打破信息孤岛，促进数据的流通和利用。同时，可支持与外部科研机构、合作医院的数据交换，推动多中心研究的开展。严格遵循国家相关法律法规和标准规范，采取有效的数据安全保护措施。建立完善的数据访问控制机制，限制数据访问权限，确保只有授权人员能够访问敏感数据。对数据进行加密存储和传输，防止数据泄露和被恶意篡改。定期备份数据，制定数据恢复策略，保障数据的完整性和可用性。</w:t>
            </w:r>
          </w:p>
          <w:p>
            <w:pPr>
              <w:pStyle w:val="null3"/>
              <w:ind w:left="435"/>
              <w:outlineLvl w:val="0"/>
            </w:pPr>
            <w:r>
              <w:rPr>
                <w:rFonts w:ascii="仿宋_GB2312" w:hAnsi="仿宋_GB2312" w:cs="仿宋_GB2312" w:eastAsia="仿宋_GB2312"/>
                <w:sz w:val="24"/>
                <w:b/>
              </w:rPr>
              <w:t>2</w:t>
            </w:r>
            <w:r>
              <w:rPr>
                <w:rFonts w:ascii="仿宋_GB2312" w:hAnsi="仿宋_GB2312" w:cs="仿宋_GB2312" w:eastAsia="仿宋_GB2312"/>
                <w:sz w:val="24"/>
                <w:b/>
              </w:rPr>
              <w:t>建设内容</w:t>
            </w:r>
          </w:p>
          <w:tbl>
            <w:tblPr>
              <w:tblBorders>
                <w:top w:val="none" w:color="000000" w:sz="4"/>
                <w:left w:val="none" w:color="000000" w:sz="4"/>
                <w:bottom w:val="none" w:color="000000" w:sz="4"/>
                <w:right w:val="none" w:color="000000" w:sz="4"/>
                <w:insideH w:val="none"/>
                <w:insideV w:val="none"/>
              </w:tblBorders>
            </w:tblPr>
            <w:tblGrid>
              <w:gridCol w:w="356"/>
              <w:gridCol w:w="1072"/>
              <w:gridCol w:w="613"/>
              <w:gridCol w:w="511"/>
            </w:tblGrid>
            <w:tr>
              <w:tc>
                <w:tcPr>
                  <w:tcW w:type="dxa" w:w="3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0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产品名称</w:t>
                  </w:r>
                </w:p>
              </w:tc>
              <w:tc>
                <w:tcPr>
                  <w:tcW w:type="dxa" w:w="6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产品形态</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r>
                    <w:rPr>
                      <w:rFonts w:ascii="仿宋_GB2312" w:hAnsi="仿宋_GB2312" w:cs="仿宋_GB2312" w:eastAsia="仿宋_GB2312"/>
                      <w:sz w:val="24"/>
                    </w:rPr>
                    <w:t>/单位</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数智专病库系统</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软件</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套</w:t>
                  </w:r>
                </w:p>
              </w:tc>
            </w:tr>
            <w:tr>
              <w:tc>
                <w:tcPr>
                  <w:tcW w:type="dxa" w:w="3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0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数据库服务器</w:t>
                  </w:r>
                </w:p>
              </w:tc>
              <w:tc>
                <w:tcPr>
                  <w:tcW w:type="dxa" w:w="6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配套硬件</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r>
                    <w:rPr>
                      <w:rFonts w:ascii="仿宋_GB2312" w:hAnsi="仿宋_GB2312" w:cs="仿宋_GB2312" w:eastAsia="仿宋_GB2312"/>
                      <w:sz w:val="24"/>
                    </w:rPr>
                    <w:t>台</w:t>
                  </w:r>
                </w:p>
              </w:tc>
            </w:tr>
            <w:tr>
              <w:tc>
                <w:tcPr>
                  <w:tcW w:type="dxa" w:w="356"/>
                  <w:vMerge/>
                  <w:tcBorders>
                    <w:top w:val="none" w:color="000000" w:sz="4"/>
                    <w:left w:val="single" w:color="000000" w:sz="4"/>
                    <w:bottom w:val="single" w:color="000000" w:sz="4"/>
                    <w:right w:val="single" w:color="000000" w:sz="4"/>
                  </w:tcBorders>
                </w:tcPr>
                <w:p/>
              </w:tc>
              <w:tc>
                <w:tcPr>
                  <w:tcW w:type="dxa" w:w="10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分析服务器</w:t>
                  </w:r>
                </w:p>
              </w:tc>
              <w:tc>
                <w:tcPr>
                  <w:tcW w:type="dxa" w:w="613"/>
                  <w:vMerge/>
                  <w:tcBorders>
                    <w:top w:val="none" w:color="000000" w:sz="4"/>
                    <w:left w:val="single" w:color="000000" w:sz="4"/>
                    <w:bottom w:val="single" w:color="000000" w:sz="4"/>
                    <w:right w:val="single" w:color="000000" w:sz="4"/>
                  </w:tcBorders>
                </w:tcP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台</w:t>
                  </w:r>
                </w:p>
              </w:tc>
            </w:tr>
            <w:tr>
              <w:tc>
                <w:tcPr>
                  <w:tcW w:type="dxa" w:w="356"/>
                  <w:vMerge/>
                  <w:tcBorders>
                    <w:top w:val="none" w:color="000000" w:sz="4"/>
                    <w:left w:val="single" w:color="000000" w:sz="4"/>
                    <w:bottom w:val="single" w:color="000000" w:sz="4"/>
                    <w:right w:val="single" w:color="000000" w:sz="4"/>
                  </w:tcBorders>
                </w:tcPr>
                <w:p/>
              </w:tc>
              <w:tc>
                <w:tcPr>
                  <w:tcW w:type="dxa" w:w="10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交换机</w:t>
                  </w:r>
                </w:p>
              </w:tc>
              <w:tc>
                <w:tcPr>
                  <w:tcW w:type="dxa" w:w="613"/>
                  <w:vMerge/>
                  <w:tcBorders>
                    <w:top w:val="none" w:color="000000" w:sz="4"/>
                    <w:left w:val="single" w:color="000000" w:sz="4"/>
                    <w:bottom w:val="single" w:color="000000" w:sz="4"/>
                    <w:right w:val="single" w:color="000000" w:sz="4"/>
                  </w:tcBorders>
                </w:tcP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台</w:t>
                  </w:r>
                </w:p>
              </w:tc>
            </w:tr>
          </w:tbl>
          <w:p>
            <w:pPr>
              <w:pStyle w:val="null3"/>
              <w:ind w:left="570"/>
              <w:outlineLvl w:val="1"/>
            </w:pPr>
            <w:r>
              <w:rPr>
                <w:rFonts w:ascii="仿宋_GB2312" w:hAnsi="仿宋_GB2312" w:cs="仿宋_GB2312" w:eastAsia="仿宋_GB2312"/>
                <w:sz w:val="24"/>
                <w:b/>
              </w:rPr>
              <w:t>2.1</w:t>
            </w:r>
            <w:r>
              <w:rPr>
                <w:rFonts w:ascii="仿宋_GB2312" w:hAnsi="仿宋_GB2312" w:cs="仿宋_GB2312" w:eastAsia="仿宋_GB2312"/>
                <w:sz w:val="24"/>
                <w:b/>
              </w:rPr>
              <w:t>建设内容明细</w:t>
            </w:r>
          </w:p>
          <w:p>
            <w:pPr>
              <w:pStyle w:val="null3"/>
              <w:ind w:left="570"/>
              <w:outlineLvl w:val="1"/>
            </w:pPr>
            <w:r>
              <w:rPr>
                <w:rFonts w:ascii="仿宋_GB2312" w:hAnsi="仿宋_GB2312" w:cs="仿宋_GB2312" w:eastAsia="仿宋_GB2312"/>
                <w:sz w:val="24"/>
                <w:b/>
              </w:rPr>
              <w:t>2.2</w:t>
            </w:r>
            <w:r>
              <w:rPr>
                <w:rFonts w:ascii="仿宋_GB2312" w:hAnsi="仿宋_GB2312" w:cs="仿宋_GB2312" w:eastAsia="仿宋_GB2312"/>
                <w:sz w:val="24"/>
                <w:b/>
              </w:rPr>
              <w:t>系统功能要求</w:t>
            </w:r>
          </w:p>
          <w:p>
            <w:pPr>
              <w:pStyle w:val="null3"/>
              <w:outlineLvl w:val="2"/>
            </w:pPr>
            <w:r>
              <w:rPr>
                <w:rFonts w:ascii="仿宋_GB2312" w:hAnsi="仿宋_GB2312" w:cs="仿宋_GB2312" w:eastAsia="仿宋_GB2312"/>
                <w:sz w:val="24"/>
                <w:b/>
              </w:rPr>
              <w:t>2.2.1</w:t>
            </w:r>
            <w:r>
              <w:rPr>
                <w:rFonts w:ascii="仿宋_GB2312" w:hAnsi="仿宋_GB2312" w:cs="仿宋_GB2312" w:eastAsia="仿宋_GB2312"/>
                <w:sz w:val="24"/>
                <w:b/>
              </w:rPr>
              <w:t>消化道出血专病库</w:t>
            </w:r>
          </w:p>
          <w:tbl>
            <w:tblPr>
              <w:tblBorders>
                <w:top w:val="none" w:color="000000" w:sz="4"/>
                <w:left w:val="none" w:color="000000" w:sz="4"/>
                <w:bottom w:val="none" w:color="000000" w:sz="4"/>
                <w:right w:val="none" w:color="000000" w:sz="4"/>
                <w:insideH w:val="none"/>
                <w:insideV w:val="none"/>
              </w:tblBorders>
            </w:tblPr>
            <w:tblGrid>
              <w:gridCol w:w="398"/>
              <w:gridCol w:w="565"/>
              <w:gridCol w:w="505"/>
              <w:gridCol w:w="1085"/>
            </w:tblGrid>
            <w:tr>
              <w:tc>
                <w:tcPr>
                  <w:tcW w:type="dxa" w:w="398"/>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pPr>
                  <w:r>
                    <w:rPr>
                      <w:rFonts w:ascii="仿宋_GB2312" w:hAnsi="仿宋_GB2312" w:cs="仿宋_GB2312" w:eastAsia="仿宋_GB2312"/>
                      <w:sz w:val="24"/>
                    </w:rPr>
                    <w:t>系统名称</w:t>
                  </w:r>
                </w:p>
              </w:tc>
              <w:tc>
                <w:tcPr>
                  <w:tcW w:type="dxa" w:w="565"/>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pPr>
                  <w:r>
                    <w:rPr>
                      <w:rFonts w:ascii="仿宋_GB2312" w:hAnsi="仿宋_GB2312" w:cs="仿宋_GB2312" w:eastAsia="仿宋_GB2312"/>
                      <w:sz w:val="24"/>
                    </w:rPr>
                    <w:t>一级模块</w:t>
                  </w:r>
                </w:p>
              </w:tc>
              <w:tc>
                <w:tcPr>
                  <w:tcW w:type="dxa" w:w="505"/>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pPr>
                  <w:r>
                    <w:rPr>
                      <w:rFonts w:ascii="仿宋_GB2312" w:hAnsi="仿宋_GB2312" w:cs="仿宋_GB2312" w:eastAsia="仿宋_GB2312"/>
                      <w:sz w:val="24"/>
                    </w:rPr>
                    <w:t>二级模块</w:t>
                  </w:r>
                </w:p>
              </w:tc>
              <w:tc>
                <w:tcPr>
                  <w:tcW w:type="dxa" w:w="1085"/>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pPr>
                  <w:r>
                    <w:rPr>
                      <w:rFonts w:ascii="仿宋_GB2312" w:hAnsi="仿宋_GB2312" w:cs="仿宋_GB2312" w:eastAsia="仿宋_GB2312"/>
                      <w:sz w:val="24"/>
                    </w:rPr>
                    <w:t>三级模块</w:t>
                  </w:r>
                </w:p>
              </w:tc>
            </w:tr>
            <w:tr>
              <w:tc>
                <w:tcPr>
                  <w:tcW w:type="dxa" w:w="398"/>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专病数据库（消化道出血）</w:t>
                  </w:r>
                </w:p>
              </w:tc>
              <w:tc>
                <w:tcPr>
                  <w:tcW w:type="dxa" w:w="565"/>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基础平台授权</w:t>
                  </w:r>
                </w:p>
              </w:tc>
              <w:tc>
                <w:tcPr>
                  <w:tcW w:type="dxa" w:w="5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平台基础授权</w:t>
                  </w:r>
                </w:p>
              </w:tc>
              <w:tc>
                <w:tcPr>
                  <w:tcW w:type="dxa" w:w="10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专病平台主框架、用户管理（角色</w:t>
                  </w:r>
                  <w:r>
                    <w:rPr>
                      <w:rFonts w:ascii="仿宋_GB2312" w:hAnsi="仿宋_GB2312" w:cs="仿宋_GB2312" w:eastAsia="仿宋_GB2312"/>
                      <w:sz w:val="24"/>
                    </w:rPr>
                    <w:t xml:space="preserve"> </w:t>
                  </w:r>
                  <w:r>
                    <w:rPr>
                      <w:rFonts w:ascii="仿宋_GB2312" w:hAnsi="仿宋_GB2312" w:cs="仿宋_GB2312" w:eastAsia="仿宋_GB2312"/>
                      <w:sz w:val="24"/>
                    </w:rPr>
                    <w:t xml:space="preserve">/ </w:t>
                  </w:r>
                  <w:r>
                    <w:rPr>
                      <w:rFonts w:ascii="仿宋_GB2312" w:hAnsi="仿宋_GB2312" w:cs="仿宋_GB2312" w:eastAsia="仿宋_GB2312"/>
                      <w:sz w:val="24"/>
                    </w:rPr>
                    <w:t>权限分配）、流程引擎（表单流转</w:t>
                  </w:r>
                  <w:r>
                    <w:rPr>
                      <w:rFonts w:ascii="仿宋_GB2312" w:hAnsi="仿宋_GB2312" w:cs="仿宋_GB2312" w:eastAsia="仿宋_GB2312"/>
                      <w:sz w:val="24"/>
                    </w:rPr>
                    <w:t xml:space="preserve"> </w:t>
                  </w:r>
                  <w:r>
                    <w:rPr>
                      <w:rFonts w:ascii="仿宋_GB2312" w:hAnsi="仿宋_GB2312" w:cs="仿宋_GB2312" w:eastAsia="仿宋_GB2312"/>
                      <w:sz w:val="24"/>
                    </w:rPr>
                    <w:t xml:space="preserve">/ </w:t>
                  </w:r>
                  <w:r>
                    <w:rPr>
                      <w:rFonts w:ascii="仿宋_GB2312" w:hAnsi="仿宋_GB2312" w:cs="仿宋_GB2312" w:eastAsia="仿宋_GB2312"/>
                      <w:sz w:val="24"/>
                    </w:rPr>
                    <w:t>审批配置）等</w:t>
                  </w:r>
                </w:p>
              </w:tc>
            </w:tr>
            <w:tr>
              <w:tc>
                <w:tcPr>
                  <w:tcW w:type="dxa" w:w="398"/>
                  <w:vMerge/>
                  <w:tcBorders>
                    <w:top w:val="none" w:color="000000" w:sz="4"/>
                    <w:left w:val="single" w:color="000000" w:sz="4"/>
                    <w:bottom w:val="single" w:color="000000" w:sz="4"/>
                    <w:right w:val="single" w:color="000000" w:sz="4"/>
                  </w:tcBorders>
                </w:tcPr>
                <w:p/>
              </w:tc>
              <w:tc>
                <w:tcPr>
                  <w:tcW w:type="dxa" w:w="565"/>
                  <w:vMerge/>
                  <w:tcBorders>
                    <w:top w:val="none" w:color="000000" w:sz="4"/>
                    <w:left w:val="single" w:color="000000" w:sz="4"/>
                    <w:bottom w:val="single" w:color="000000" w:sz="4"/>
                    <w:right w:val="single" w:color="000000" w:sz="4"/>
                  </w:tcBorders>
                </w:tcPr>
                <w:p/>
              </w:tc>
              <w:tc>
                <w:tcPr>
                  <w:tcW w:type="dxa" w:w="5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数据模型引擎</w:t>
                  </w:r>
                </w:p>
              </w:tc>
              <w:tc>
                <w:tcPr>
                  <w:tcW w:type="dxa" w:w="10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自定义字段配置、结构化数据模型搭建、数据版本管理（对比</w:t>
                  </w:r>
                  <w:r>
                    <w:rPr>
                      <w:rFonts w:ascii="仿宋_GB2312" w:hAnsi="仿宋_GB2312" w:cs="仿宋_GB2312" w:eastAsia="仿宋_GB2312"/>
                      <w:sz w:val="24"/>
                    </w:rPr>
                    <w:t xml:space="preserve"> </w:t>
                  </w:r>
                  <w:r>
                    <w:rPr>
                      <w:rFonts w:ascii="仿宋_GB2312" w:hAnsi="仿宋_GB2312" w:cs="仿宋_GB2312" w:eastAsia="仿宋_GB2312"/>
                      <w:sz w:val="24"/>
                    </w:rPr>
                    <w:t xml:space="preserve">/ </w:t>
                  </w:r>
                  <w:r>
                    <w:rPr>
                      <w:rFonts w:ascii="仿宋_GB2312" w:hAnsi="仿宋_GB2312" w:cs="仿宋_GB2312" w:eastAsia="仿宋_GB2312"/>
                      <w:sz w:val="24"/>
                    </w:rPr>
                    <w:t>回溯）等</w:t>
                  </w:r>
                </w:p>
              </w:tc>
            </w:tr>
            <w:tr>
              <w:tc>
                <w:tcPr>
                  <w:tcW w:type="dxa" w:w="398"/>
                  <w:vMerge/>
                  <w:tcBorders>
                    <w:top w:val="none" w:color="000000" w:sz="4"/>
                    <w:left w:val="single" w:color="000000" w:sz="4"/>
                    <w:bottom w:val="single" w:color="000000" w:sz="4"/>
                    <w:right w:val="single" w:color="000000" w:sz="4"/>
                  </w:tcBorders>
                </w:tcPr>
                <w:p/>
              </w:tc>
              <w:tc>
                <w:tcPr>
                  <w:tcW w:type="dxa" w:w="565"/>
                  <w:vMerge/>
                  <w:tcBorders>
                    <w:top w:val="none" w:color="000000" w:sz="4"/>
                    <w:left w:val="single" w:color="000000" w:sz="4"/>
                    <w:bottom w:val="single" w:color="000000" w:sz="4"/>
                    <w:right w:val="single" w:color="000000" w:sz="4"/>
                  </w:tcBorders>
                </w:tcPr>
                <w:p/>
              </w:tc>
              <w:tc>
                <w:tcPr>
                  <w:tcW w:type="dxa" w:w="5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容灾与备份模块</w:t>
                  </w:r>
                </w:p>
              </w:tc>
              <w:tc>
                <w:tcPr>
                  <w:tcW w:type="dxa" w:w="10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操作日志记录、定时自动备份、手动备份、数据恢复功能（含策略配置）等</w:t>
                  </w:r>
                </w:p>
              </w:tc>
            </w:tr>
            <w:tr>
              <w:tc>
                <w:tcPr>
                  <w:tcW w:type="dxa" w:w="398"/>
                  <w:vMerge/>
                  <w:tcBorders>
                    <w:top w:val="none" w:color="000000" w:sz="4"/>
                    <w:left w:val="single" w:color="000000" w:sz="4"/>
                    <w:bottom w:val="single" w:color="000000" w:sz="4"/>
                    <w:right w:val="single" w:color="000000" w:sz="4"/>
                  </w:tcBorders>
                </w:tcPr>
                <w:p/>
              </w:tc>
              <w:tc>
                <w:tcPr>
                  <w:tcW w:type="dxa" w:w="565"/>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消化道出血专病模型</w:t>
                  </w:r>
                </w:p>
              </w:tc>
              <w:tc>
                <w:tcPr>
                  <w:tcW w:type="dxa" w:w="5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0"/>
                    </w:rPr>
                    <w:t>▲</w:t>
                  </w:r>
                  <w:r>
                    <w:rPr>
                      <w:rFonts w:ascii="仿宋_GB2312" w:hAnsi="仿宋_GB2312" w:cs="仿宋_GB2312" w:eastAsia="仿宋_GB2312"/>
                      <w:sz w:val="24"/>
                    </w:rPr>
                    <w:t>病种模型构建</w:t>
                  </w:r>
                </w:p>
              </w:tc>
              <w:tc>
                <w:tcPr>
                  <w:tcW w:type="dxa" w:w="10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覆盖上</w:t>
                  </w:r>
                  <w:r>
                    <w:rPr>
                      <w:rFonts w:ascii="仿宋_GB2312" w:hAnsi="仿宋_GB2312" w:cs="仿宋_GB2312" w:eastAsia="仿宋_GB2312"/>
                      <w:sz w:val="24"/>
                    </w:rPr>
                    <w:t>/ 下消化道出血、来源不明 GI 出血，定义核心字段、派生字段及关联关系</w:t>
                  </w:r>
                </w:p>
              </w:tc>
            </w:tr>
            <w:tr>
              <w:tc>
                <w:tcPr>
                  <w:tcW w:type="dxa" w:w="398"/>
                  <w:vMerge/>
                  <w:tcBorders>
                    <w:top w:val="none" w:color="000000" w:sz="4"/>
                    <w:left w:val="single" w:color="000000" w:sz="4"/>
                    <w:bottom w:val="single" w:color="000000" w:sz="4"/>
                    <w:right w:val="single" w:color="000000" w:sz="4"/>
                  </w:tcBorders>
                </w:tcPr>
                <w:p/>
              </w:tc>
              <w:tc>
                <w:tcPr>
                  <w:tcW w:type="dxa" w:w="565"/>
                  <w:vMerge/>
                  <w:tcBorders>
                    <w:top w:val="none" w:color="000000" w:sz="4"/>
                    <w:left w:val="single" w:color="000000" w:sz="4"/>
                    <w:bottom w:val="single" w:color="000000" w:sz="4"/>
                    <w:right w:val="single" w:color="000000" w:sz="4"/>
                  </w:tcBorders>
                </w:tcPr>
                <w:p/>
              </w:tc>
              <w:tc>
                <w:tcPr>
                  <w:tcW w:type="dxa" w:w="5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字段标准化</w:t>
                  </w:r>
                </w:p>
              </w:tc>
              <w:tc>
                <w:tcPr>
                  <w:tcW w:type="dxa" w:w="10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ICD-10/ICD-9-CM3 编码映射、临床术语规范化（出血部位 / 病因表述统一）</w:t>
                  </w:r>
                </w:p>
              </w:tc>
            </w:tr>
            <w:tr>
              <w:tc>
                <w:tcPr>
                  <w:tcW w:type="dxa" w:w="398"/>
                  <w:vMerge/>
                  <w:tcBorders>
                    <w:top w:val="none" w:color="000000" w:sz="4"/>
                    <w:left w:val="single" w:color="000000" w:sz="4"/>
                    <w:bottom w:val="single" w:color="000000" w:sz="4"/>
                    <w:right w:val="single" w:color="000000" w:sz="4"/>
                  </w:tcBorders>
                </w:tcPr>
                <w:p/>
              </w:tc>
              <w:tc>
                <w:tcPr>
                  <w:tcW w:type="dxa" w:w="565"/>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诊疗流程表单</w:t>
                  </w:r>
                  <w:r>
                    <w:rPr>
                      <w:rFonts w:ascii="仿宋_GB2312" w:hAnsi="仿宋_GB2312" w:cs="仿宋_GB2312" w:eastAsia="仿宋_GB2312"/>
                      <w:sz w:val="24"/>
                    </w:rPr>
                    <w:t>数据采集</w:t>
                  </w:r>
                </w:p>
              </w:tc>
              <w:tc>
                <w:tcPr>
                  <w:tcW w:type="dxa" w:w="5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急诊表单</w:t>
                  </w:r>
                </w:p>
              </w:tc>
              <w:tc>
                <w:tcPr>
                  <w:tcW w:type="dxa" w:w="10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初诊信息表、抢救记录单、输血量统计，含必填字段</w:t>
                  </w:r>
                  <w:r>
                    <w:rPr>
                      <w:rFonts w:ascii="仿宋_GB2312" w:hAnsi="仿宋_GB2312" w:cs="仿宋_GB2312" w:eastAsia="仿宋_GB2312"/>
                      <w:sz w:val="24"/>
                    </w:rPr>
                    <w:t>/ 逻辑校验</w:t>
                  </w:r>
                </w:p>
              </w:tc>
            </w:tr>
            <w:tr>
              <w:tc>
                <w:tcPr>
                  <w:tcW w:type="dxa" w:w="398"/>
                  <w:vMerge/>
                  <w:tcBorders>
                    <w:top w:val="none" w:color="000000" w:sz="4"/>
                    <w:left w:val="single" w:color="000000" w:sz="4"/>
                    <w:bottom w:val="single" w:color="000000" w:sz="4"/>
                    <w:right w:val="single" w:color="000000" w:sz="4"/>
                  </w:tcBorders>
                </w:tcPr>
                <w:p/>
              </w:tc>
              <w:tc>
                <w:tcPr>
                  <w:tcW w:type="dxa" w:w="565"/>
                  <w:vMerge/>
                  <w:tcBorders>
                    <w:top w:val="none" w:color="000000" w:sz="4"/>
                    <w:left w:val="single" w:color="000000" w:sz="4"/>
                    <w:bottom w:val="single" w:color="000000" w:sz="4"/>
                    <w:right w:val="single" w:color="000000" w:sz="4"/>
                  </w:tcBorders>
                </w:tcPr>
                <w:p/>
              </w:tc>
              <w:tc>
                <w:tcPr>
                  <w:tcW w:type="dxa" w:w="5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内镜节点表单</w:t>
                  </w:r>
                </w:p>
              </w:tc>
              <w:tc>
                <w:tcPr>
                  <w:tcW w:type="dxa" w:w="10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止血方式、内镜操作详情、并发症监测，支持与内镜报告关联</w:t>
                  </w:r>
                </w:p>
              </w:tc>
            </w:tr>
            <w:tr>
              <w:tc>
                <w:tcPr>
                  <w:tcW w:type="dxa" w:w="398"/>
                  <w:vMerge/>
                  <w:tcBorders>
                    <w:top w:val="none" w:color="000000" w:sz="4"/>
                    <w:left w:val="single" w:color="000000" w:sz="4"/>
                    <w:bottom w:val="single" w:color="000000" w:sz="4"/>
                    <w:right w:val="single" w:color="000000" w:sz="4"/>
                  </w:tcBorders>
                </w:tcPr>
                <w:p/>
              </w:tc>
              <w:tc>
                <w:tcPr>
                  <w:tcW w:type="dxa" w:w="565"/>
                  <w:vMerge/>
                  <w:tcBorders>
                    <w:top w:val="none" w:color="000000" w:sz="4"/>
                    <w:left w:val="single" w:color="000000" w:sz="4"/>
                    <w:bottom w:val="single" w:color="000000" w:sz="4"/>
                    <w:right w:val="single" w:color="000000" w:sz="4"/>
                  </w:tcBorders>
                </w:tcPr>
                <w:p/>
              </w:tc>
              <w:tc>
                <w:tcPr>
                  <w:tcW w:type="dxa" w:w="5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住院管理表单</w:t>
                  </w:r>
                </w:p>
              </w:tc>
              <w:tc>
                <w:tcPr>
                  <w:tcW w:type="dxa" w:w="10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入院评估、治疗措施记录、出院小结提取，适配临床流程</w:t>
                  </w:r>
                </w:p>
              </w:tc>
            </w:tr>
            <w:tr>
              <w:tc>
                <w:tcPr>
                  <w:tcW w:type="dxa" w:w="398"/>
                  <w:vMerge/>
                  <w:tcBorders>
                    <w:top w:val="none" w:color="000000" w:sz="4"/>
                    <w:left w:val="single" w:color="000000" w:sz="4"/>
                    <w:bottom w:val="single" w:color="000000" w:sz="4"/>
                    <w:right w:val="single" w:color="000000" w:sz="4"/>
                  </w:tcBorders>
                </w:tcPr>
                <w:p/>
              </w:tc>
              <w:tc>
                <w:tcPr>
                  <w:tcW w:type="dxa" w:w="5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风险评分模型</w:t>
                  </w:r>
                  <w:r>
                    <w:rPr>
                      <w:rFonts w:ascii="仿宋_GB2312" w:hAnsi="仿宋_GB2312" w:cs="仿宋_GB2312" w:eastAsia="仿宋_GB2312"/>
                      <w:sz w:val="24"/>
                    </w:rPr>
                    <w:t>数据采集</w:t>
                  </w:r>
                </w:p>
              </w:tc>
              <w:tc>
                <w:tcPr>
                  <w:tcW w:type="dxa" w:w="5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风险评分模型</w:t>
                  </w:r>
                  <w:r>
                    <w:rPr>
                      <w:rFonts w:ascii="仿宋_GB2312" w:hAnsi="仿宋_GB2312" w:cs="仿宋_GB2312" w:eastAsia="仿宋_GB2312"/>
                      <w:sz w:val="24"/>
                    </w:rPr>
                    <w:t>数据采集</w:t>
                  </w:r>
                </w:p>
              </w:tc>
              <w:tc>
                <w:tcPr>
                  <w:tcW w:type="dxa" w:w="10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采集</w:t>
                  </w:r>
                  <w:r>
                    <w:rPr>
                      <w:rFonts w:ascii="仿宋_GB2312" w:hAnsi="仿宋_GB2312" w:cs="仿宋_GB2312" w:eastAsia="仿宋_GB2312"/>
                      <w:sz w:val="24"/>
                    </w:rPr>
                    <w:t>GBS 评分模型</w:t>
                  </w:r>
                  <w:r>
                    <w:rPr>
                      <w:rFonts w:ascii="仿宋_GB2312" w:hAnsi="仿宋_GB2312" w:cs="仿宋_GB2312" w:eastAsia="仿宋_GB2312"/>
                      <w:sz w:val="24"/>
                    </w:rPr>
                    <w:t>、</w:t>
                  </w:r>
                  <w:r>
                    <w:rPr>
                      <w:rFonts w:ascii="仿宋_GB2312" w:hAnsi="仿宋_GB2312" w:cs="仿宋_GB2312" w:eastAsia="仿宋_GB2312"/>
                      <w:sz w:val="24"/>
                    </w:rPr>
                    <w:t>AIMS65 评分模型</w:t>
                  </w:r>
                  <w:r>
                    <w:rPr>
                      <w:rFonts w:ascii="仿宋_GB2312" w:hAnsi="仿宋_GB2312" w:cs="仿宋_GB2312" w:eastAsia="仿宋_GB2312"/>
                      <w:sz w:val="24"/>
                    </w:rPr>
                    <w:t>、</w:t>
                  </w:r>
                  <w:r>
                    <w:rPr>
                      <w:rFonts w:ascii="仿宋_GB2312" w:hAnsi="仿宋_GB2312" w:cs="仿宋_GB2312" w:eastAsia="仿宋_GB2312"/>
                      <w:sz w:val="24"/>
                    </w:rPr>
                    <w:t>Rockall 评分模型</w:t>
                  </w:r>
                  <w:r>
                    <w:rPr>
                      <w:rFonts w:ascii="仿宋_GB2312" w:hAnsi="仿宋_GB2312" w:cs="仿宋_GB2312" w:eastAsia="仿宋_GB2312"/>
                      <w:sz w:val="24"/>
                    </w:rPr>
                    <w:t>等模型所需数据，并计算相关评分</w:t>
                  </w:r>
                </w:p>
              </w:tc>
            </w:tr>
            <w:tr>
              <w:tc>
                <w:tcPr>
                  <w:tcW w:type="dxa" w:w="398"/>
                  <w:vMerge/>
                  <w:tcBorders>
                    <w:top w:val="none" w:color="000000" w:sz="4"/>
                    <w:left w:val="single" w:color="000000" w:sz="4"/>
                    <w:bottom w:val="single" w:color="000000" w:sz="4"/>
                    <w:right w:val="single" w:color="000000" w:sz="4"/>
                  </w:tcBorders>
                </w:tcPr>
                <w:p/>
              </w:tc>
              <w:tc>
                <w:tcPr>
                  <w:tcW w:type="dxa" w:w="565"/>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质控</w:t>
                  </w:r>
                  <w:r>
                    <w:rPr>
                      <w:rFonts w:ascii="仿宋_GB2312" w:hAnsi="仿宋_GB2312" w:cs="仿宋_GB2312" w:eastAsia="仿宋_GB2312"/>
                      <w:sz w:val="24"/>
                    </w:rPr>
                    <w:t>/ 报表</w:t>
                  </w:r>
                </w:p>
              </w:tc>
              <w:tc>
                <w:tcPr>
                  <w:tcW w:type="dxa" w:w="5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再出血率统计</w:t>
                  </w:r>
                </w:p>
              </w:tc>
              <w:tc>
                <w:tcPr>
                  <w:tcW w:type="dxa" w:w="10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自动归集数据，按时间</w:t>
                  </w:r>
                  <w:r>
                    <w:rPr>
                      <w:rFonts w:ascii="仿宋_GB2312" w:hAnsi="仿宋_GB2312" w:cs="仿宋_GB2312" w:eastAsia="仿宋_GB2312"/>
                      <w:sz w:val="24"/>
                    </w:rPr>
                    <w:t>/ 科室 / 人群维度统计分析</w:t>
                  </w:r>
                </w:p>
              </w:tc>
            </w:tr>
            <w:tr>
              <w:tc>
                <w:tcPr>
                  <w:tcW w:type="dxa" w:w="398"/>
                  <w:vMerge/>
                  <w:tcBorders>
                    <w:top w:val="none" w:color="000000" w:sz="4"/>
                    <w:left w:val="single" w:color="000000" w:sz="4"/>
                    <w:bottom w:val="single" w:color="000000" w:sz="4"/>
                    <w:right w:val="single" w:color="000000" w:sz="4"/>
                  </w:tcBorders>
                </w:tcPr>
                <w:p/>
              </w:tc>
              <w:tc>
                <w:tcPr>
                  <w:tcW w:type="dxa" w:w="565"/>
                  <w:vMerge/>
                  <w:tcBorders>
                    <w:top w:val="none" w:color="000000" w:sz="4"/>
                    <w:left w:val="single" w:color="000000" w:sz="4"/>
                    <w:bottom w:val="single" w:color="000000" w:sz="4"/>
                    <w:right w:val="single" w:color="000000" w:sz="4"/>
                  </w:tcBorders>
                </w:tcPr>
                <w:p/>
              </w:tc>
              <w:tc>
                <w:tcPr>
                  <w:tcW w:type="dxa" w:w="5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住院日</w:t>
                  </w:r>
                  <w:r>
                    <w:rPr>
                      <w:rFonts w:ascii="仿宋_GB2312" w:hAnsi="仿宋_GB2312" w:cs="仿宋_GB2312" w:eastAsia="仿宋_GB2312"/>
                      <w:sz w:val="24"/>
                    </w:rPr>
                    <w:t>/ 再住院率分析</w:t>
                  </w:r>
                </w:p>
              </w:tc>
              <w:tc>
                <w:tcPr>
                  <w:tcW w:type="dxa" w:w="10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统计平均住院日，追踪再住院病例并趋势分析，生成可视化报表</w:t>
                  </w:r>
                </w:p>
              </w:tc>
            </w:tr>
            <w:tr>
              <w:tc>
                <w:tcPr>
                  <w:tcW w:type="dxa" w:w="398"/>
                  <w:vMerge/>
                  <w:tcBorders>
                    <w:top w:val="none" w:color="000000" w:sz="4"/>
                    <w:left w:val="single" w:color="000000" w:sz="4"/>
                    <w:bottom w:val="single" w:color="000000" w:sz="4"/>
                    <w:right w:val="single" w:color="000000" w:sz="4"/>
                  </w:tcBorders>
                </w:tcPr>
                <w:p/>
              </w:tc>
              <w:tc>
                <w:tcPr>
                  <w:tcW w:type="dxa" w:w="565"/>
                  <w:vMerge/>
                  <w:tcBorders>
                    <w:top w:val="none" w:color="000000" w:sz="4"/>
                    <w:left w:val="single" w:color="000000" w:sz="4"/>
                    <w:bottom w:val="single" w:color="000000" w:sz="4"/>
                    <w:right w:val="single" w:color="000000" w:sz="4"/>
                  </w:tcBorders>
                </w:tcPr>
                <w:p/>
              </w:tc>
              <w:tc>
                <w:tcPr>
                  <w:tcW w:type="dxa" w:w="5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手术</w:t>
                  </w:r>
                  <w:r>
                    <w:rPr>
                      <w:rFonts w:ascii="仿宋_GB2312" w:hAnsi="仿宋_GB2312" w:cs="仿宋_GB2312" w:eastAsia="仿宋_GB2312"/>
                      <w:sz w:val="24"/>
                    </w:rPr>
                    <w:t>/ 输血相关报表</w:t>
                  </w:r>
                </w:p>
              </w:tc>
              <w:tc>
                <w:tcPr>
                  <w:tcW w:type="dxa" w:w="10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汇总手术</w:t>
                  </w:r>
                  <w:r>
                    <w:rPr>
                      <w:rFonts w:ascii="仿宋_GB2312" w:hAnsi="仿宋_GB2312" w:cs="仿宋_GB2312" w:eastAsia="仿宋_GB2312"/>
                      <w:sz w:val="24"/>
                    </w:rPr>
                    <w:t>/ 输血病例数据，生成柱状图 / 折线图及明细报表</w:t>
                  </w:r>
                </w:p>
              </w:tc>
            </w:tr>
            <w:tr>
              <w:tc>
                <w:tcPr>
                  <w:tcW w:type="dxa" w:w="398"/>
                  <w:vMerge/>
                  <w:tcBorders>
                    <w:top w:val="none" w:color="000000" w:sz="4"/>
                    <w:left w:val="single" w:color="000000" w:sz="4"/>
                    <w:bottom w:val="single" w:color="000000" w:sz="4"/>
                    <w:right w:val="single" w:color="000000" w:sz="4"/>
                  </w:tcBorders>
                </w:tcPr>
                <w:p/>
              </w:tc>
              <w:tc>
                <w:tcPr>
                  <w:tcW w:type="dxa" w:w="565"/>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影像</w:t>
                  </w:r>
                  <w:r>
                    <w:rPr>
                      <w:rFonts w:ascii="仿宋_GB2312" w:hAnsi="仿宋_GB2312" w:cs="仿宋_GB2312" w:eastAsia="仿宋_GB2312"/>
                      <w:sz w:val="24"/>
                    </w:rPr>
                    <w:t xml:space="preserve"> </w:t>
                  </w:r>
                  <w:r>
                    <w:rPr>
                      <w:rFonts w:ascii="仿宋_GB2312" w:hAnsi="仿宋_GB2312" w:cs="仿宋_GB2312" w:eastAsia="仿宋_GB2312"/>
                      <w:sz w:val="24"/>
                    </w:rPr>
                    <w:t xml:space="preserve">/ </w:t>
                  </w:r>
                  <w:r>
                    <w:rPr>
                      <w:rFonts w:ascii="仿宋_GB2312" w:hAnsi="仿宋_GB2312" w:cs="仿宋_GB2312" w:eastAsia="仿宋_GB2312"/>
                      <w:sz w:val="24"/>
                    </w:rPr>
                    <w:t>内镜对接</w:t>
                  </w:r>
                </w:p>
              </w:tc>
              <w:tc>
                <w:tcPr>
                  <w:tcW w:type="dxa" w:w="5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内镜系统接口</w:t>
                  </w:r>
                </w:p>
              </w:tc>
              <w:tc>
                <w:tcPr>
                  <w:tcW w:type="dxa" w:w="10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对接内镜系统，同步检查元数据、镜检部位、诊断结果，保障实时性</w:t>
                  </w:r>
                </w:p>
              </w:tc>
            </w:tr>
            <w:tr>
              <w:tc>
                <w:tcPr>
                  <w:tcW w:type="dxa" w:w="398"/>
                  <w:vMerge/>
                  <w:tcBorders>
                    <w:top w:val="none" w:color="000000" w:sz="4"/>
                    <w:left w:val="single" w:color="000000" w:sz="4"/>
                    <w:bottom w:val="single" w:color="000000" w:sz="4"/>
                    <w:right w:val="single" w:color="000000" w:sz="4"/>
                  </w:tcBorders>
                </w:tcPr>
                <w:p/>
              </w:tc>
              <w:tc>
                <w:tcPr>
                  <w:tcW w:type="dxa" w:w="565"/>
                  <w:vMerge/>
                  <w:tcBorders>
                    <w:top w:val="none" w:color="000000" w:sz="4"/>
                    <w:left w:val="single" w:color="000000" w:sz="4"/>
                    <w:bottom w:val="single" w:color="000000" w:sz="4"/>
                    <w:right w:val="single" w:color="000000" w:sz="4"/>
                  </w:tcBorders>
                </w:tcPr>
                <w:p/>
              </w:tc>
              <w:tc>
                <w:tcPr>
                  <w:tcW w:type="dxa" w:w="5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内镜报告</w:t>
                  </w:r>
                  <w:r>
                    <w:rPr>
                      <w:rFonts w:ascii="仿宋_GB2312" w:hAnsi="仿宋_GB2312" w:cs="仿宋_GB2312" w:eastAsia="仿宋_GB2312"/>
                      <w:sz w:val="24"/>
                    </w:rPr>
                    <w:t>PDF 处理</w:t>
                  </w:r>
                </w:p>
              </w:tc>
              <w:tc>
                <w:tcPr>
                  <w:tcW w:type="dxa" w:w="10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提取</w:t>
                  </w:r>
                  <w:r>
                    <w:rPr>
                      <w:rFonts w:ascii="仿宋_GB2312" w:hAnsi="仿宋_GB2312" w:cs="仿宋_GB2312" w:eastAsia="仿宋_GB2312"/>
                      <w:sz w:val="24"/>
                    </w:rPr>
                    <w:t>PDF 文件，与病例绑定归档，支持在线预览 / 下载</w:t>
                  </w:r>
                </w:p>
              </w:tc>
            </w:tr>
            <w:tr>
              <w:tc>
                <w:tcPr>
                  <w:tcW w:type="dxa" w:w="398"/>
                  <w:vMerge/>
                  <w:tcBorders>
                    <w:top w:val="none" w:color="000000" w:sz="4"/>
                    <w:left w:val="single" w:color="000000" w:sz="4"/>
                    <w:bottom w:val="single" w:color="000000" w:sz="4"/>
                    <w:right w:val="single" w:color="000000" w:sz="4"/>
                  </w:tcBorders>
                </w:tcPr>
                <w:p/>
              </w:tc>
              <w:tc>
                <w:tcPr>
                  <w:tcW w:type="dxa" w:w="565"/>
                  <w:vMerge/>
                  <w:tcBorders>
                    <w:top w:val="none" w:color="000000" w:sz="4"/>
                    <w:left w:val="single" w:color="000000" w:sz="4"/>
                    <w:bottom w:val="single" w:color="000000" w:sz="4"/>
                    <w:right w:val="single" w:color="000000" w:sz="4"/>
                  </w:tcBorders>
                </w:tcPr>
                <w:p/>
              </w:tc>
              <w:tc>
                <w:tcPr>
                  <w:tcW w:type="dxa" w:w="5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影像元数据同步</w:t>
                  </w:r>
                </w:p>
              </w:tc>
              <w:tc>
                <w:tcPr>
                  <w:tcW w:type="dxa" w:w="10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同步</w:t>
                  </w:r>
                  <w:r>
                    <w:rPr>
                      <w:rFonts w:ascii="仿宋_GB2312" w:hAnsi="仿宋_GB2312" w:cs="仿宋_GB2312" w:eastAsia="仿宋_GB2312"/>
                      <w:sz w:val="24"/>
                    </w:rPr>
                    <w:t>CT / 超声检查信息及结论，建立与病例关联</w:t>
                  </w:r>
                </w:p>
              </w:tc>
            </w:tr>
            <w:tr>
              <w:tc>
                <w:tcPr>
                  <w:tcW w:type="dxa" w:w="398"/>
                  <w:vMerge/>
                  <w:tcBorders>
                    <w:top w:val="none" w:color="000000" w:sz="4"/>
                    <w:left w:val="single" w:color="000000" w:sz="4"/>
                    <w:bottom w:val="single" w:color="000000" w:sz="4"/>
                    <w:right w:val="single" w:color="000000" w:sz="4"/>
                  </w:tcBorders>
                </w:tcPr>
                <w:p/>
              </w:tc>
              <w:tc>
                <w:tcPr>
                  <w:tcW w:type="dxa" w:w="565"/>
                  <w:vMerge/>
                  <w:tcBorders>
                    <w:top w:val="none" w:color="000000" w:sz="4"/>
                    <w:left w:val="single" w:color="000000" w:sz="4"/>
                    <w:bottom w:val="single" w:color="000000" w:sz="4"/>
                    <w:right w:val="single" w:color="000000" w:sz="4"/>
                  </w:tcBorders>
                </w:tcPr>
                <w:p/>
              </w:tc>
              <w:tc>
                <w:tcPr>
                  <w:tcW w:type="dxa" w:w="5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影像跳转功能</w:t>
                  </w:r>
                </w:p>
              </w:tc>
              <w:tc>
                <w:tcPr>
                  <w:tcW w:type="dxa" w:w="10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通过</w:t>
                  </w:r>
                  <w:r>
                    <w:rPr>
                      <w:rFonts w:ascii="仿宋_GB2312" w:hAnsi="仿宋_GB2312" w:cs="仿宋_GB2312" w:eastAsia="仿宋_GB2312"/>
                      <w:sz w:val="24"/>
                    </w:rPr>
                    <w:t>PACS URL/Token 鉴权，实现一键跳转查看原始影像</w:t>
                  </w:r>
                </w:p>
              </w:tc>
            </w:tr>
            <w:tr>
              <w:tc>
                <w:tcPr>
                  <w:tcW w:type="dxa" w:w="398"/>
                  <w:vMerge/>
                  <w:tcBorders>
                    <w:top w:val="none" w:color="000000" w:sz="4"/>
                    <w:left w:val="single" w:color="000000" w:sz="4"/>
                    <w:bottom w:val="single" w:color="000000" w:sz="4"/>
                    <w:right w:val="single" w:color="000000" w:sz="4"/>
                  </w:tcBorders>
                </w:tcPr>
                <w:p/>
              </w:tc>
              <w:tc>
                <w:tcPr>
                  <w:tcW w:type="dxa" w:w="565"/>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HIS/EMR/LIS 接口</w:t>
                  </w:r>
                </w:p>
              </w:tc>
              <w:tc>
                <w:tcPr>
                  <w:tcW w:type="dxa" w:w="5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HIS - 患者信息接口</w:t>
                  </w:r>
                </w:p>
              </w:tc>
              <w:tc>
                <w:tcPr>
                  <w:tcW w:type="dxa" w:w="10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同步基本信息（姓名</w:t>
                  </w:r>
                  <w:r>
                    <w:rPr>
                      <w:rFonts w:ascii="仿宋_GB2312" w:hAnsi="仿宋_GB2312" w:cs="仿宋_GB2312" w:eastAsia="仿宋_GB2312"/>
                      <w:sz w:val="24"/>
                    </w:rPr>
                    <w:t>/ 性别等）、就诊记录、住院号，保障身份一致性</w:t>
                  </w:r>
                </w:p>
              </w:tc>
            </w:tr>
            <w:tr>
              <w:tc>
                <w:tcPr>
                  <w:tcW w:type="dxa" w:w="398"/>
                  <w:vMerge/>
                  <w:tcBorders>
                    <w:top w:val="none" w:color="000000" w:sz="4"/>
                    <w:left w:val="single" w:color="000000" w:sz="4"/>
                    <w:bottom w:val="single" w:color="000000" w:sz="4"/>
                    <w:right w:val="single" w:color="000000" w:sz="4"/>
                  </w:tcBorders>
                </w:tcPr>
                <w:p/>
              </w:tc>
              <w:tc>
                <w:tcPr>
                  <w:tcW w:type="dxa" w:w="565"/>
                  <w:vMerge/>
                  <w:tcBorders>
                    <w:top w:val="none" w:color="000000" w:sz="4"/>
                    <w:left w:val="single" w:color="000000" w:sz="4"/>
                    <w:bottom w:val="single" w:color="000000" w:sz="4"/>
                    <w:right w:val="single" w:color="000000" w:sz="4"/>
                  </w:tcBorders>
                </w:tcPr>
                <w:p/>
              </w:tc>
              <w:tc>
                <w:tcPr>
                  <w:tcW w:type="dxa" w:w="5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EMR - 诊断抽取接口</w:t>
                  </w:r>
                </w:p>
              </w:tc>
              <w:tc>
                <w:tcPr>
                  <w:tcW w:type="dxa" w:w="10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提取</w:t>
                  </w:r>
                  <w:r>
                    <w:rPr>
                      <w:rFonts w:ascii="仿宋_GB2312" w:hAnsi="仿宋_GB2312" w:cs="仿宋_GB2312" w:eastAsia="仿宋_GB2312"/>
                      <w:sz w:val="24"/>
                    </w:rPr>
                    <w:t>ICD10 编码、病案首页摘要，结构化存储至专病库</w:t>
                  </w:r>
                </w:p>
              </w:tc>
            </w:tr>
            <w:tr>
              <w:tc>
                <w:tcPr>
                  <w:tcW w:type="dxa" w:w="398"/>
                  <w:vMerge/>
                  <w:tcBorders>
                    <w:top w:val="none" w:color="000000" w:sz="4"/>
                    <w:left w:val="single" w:color="000000" w:sz="4"/>
                    <w:bottom w:val="single" w:color="000000" w:sz="4"/>
                    <w:right w:val="single" w:color="000000" w:sz="4"/>
                  </w:tcBorders>
                </w:tcPr>
                <w:p/>
              </w:tc>
              <w:tc>
                <w:tcPr>
                  <w:tcW w:type="dxa" w:w="565"/>
                  <w:vMerge/>
                  <w:tcBorders>
                    <w:top w:val="none" w:color="000000" w:sz="4"/>
                    <w:left w:val="single" w:color="000000" w:sz="4"/>
                    <w:bottom w:val="single" w:color="000000" w:sz="4"/>
                    <w:right w:val="single" w:color="000000" w:sz="4"/>
                  </w:tcBorders>
                </w:tcPr>
                <w:p/>
              </w:tc>
              <w:tc>
                <w:tcPr>
                  <w:tcW w:type="dxa" w:w="5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LIS - 化验结果接口</w:t>
                  </w:r>
                </w:p>
              </w:tc>
              <w:tc>
                <w:tcPr>
                  <w:tcW w:type="dxa" w:w="10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同步</w:t>
                  </w:r>
                  <w:r>
                    <w:rPr>
                      <w:rFonts w:ascii="仿宋_GB2312" w:hAnsi="仿宋_GB2312" w:cs="仿宋_GB2312" w:eastAsia="仿宋_GB2312"/>
                      <w:sz w:val="24"/>
                    </w:rPr>
                    <w:t>HGB、凝血、肝肾功能等指标，支持异常值标记</w:t>
                  </w:r>
                </w:p>
              </w:tc>
            </w:tr>
            <w:tr>
              <w:tc>
                <w:tcPr>
                  <w:tcW w:type="dxa" w:w="398"/>
                  <w:vMerge/>
                  <w:tcBorders>
                    <w:top w:val="none" w:color="000000" w:sz="4"/>
                    <w:left w:val="single" w:color="000000" w:sz="4"/>
                    <w:bottom w:val="single" w:color="000000" w:sz="4"/>
                    <w:right w:val="single" w:color="000000" w:sz="4"/>
                  </w:tcBorders>
                </w:tcPr>
                <w:p/>
              </w:tc>
              <w:tc>
                <w:tcPr>
                  <w:tcW w:type="dxa" w:w="565"/>
                  <w:vMerge/>
                  <w:tcBorders>
                    <w:top w:val="none" w:color="000000" w:sz="4"/>
                    <w:left w:val="single" w:color="000000" w:sz="4"/>
                    <w:bottom w:val="single" w:color="000000" w:sz="4"/>
                    <w:right w:val="single" w:color="000000" w:sz="4"/>
                  </w:tcBorders>
                </w:tcPr>
                <w:p/>
              </w:tc>
              <w:tc>
                <w:tcPr>
                  <w:tcW w:type="dxa" w:w="5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系统联调</w:t>
                  </w:r>
                </w:p>
              </w:tc>
              <w:tc>
                <w:tcPr>
                  <w:tcW w:type="dxa" w:w="10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多系统接口联测、异常排查修复，确保数据传输稳定</w:t>
                  </w:r>
                </w:p>
              </w:tc>
            </w:tr>
            <w:tr>
              <w:tc>
                <w:tcPr>
                  <w:tcW w:type="dxa" w:w="398"/>
                  <w:vMerge/>
                  <w:tcBorders>
                    <w:top w:val="none" w:color="000000" w:sz="4"/>
                    <w:left w:val="single" w:color="000000" w:sz="4"/>
                    <w:bottom w:val="single" w:color="000000" w:sz="4"/>
                    <w:right w:val="single" w:color="000000" w:sz="4"/>
                  </w:tcBorders>
                </w:tcPr>
                <w:p/>
              </w:tc>
              <w:tc>
                <w:tcPr>
                  <w:tcW w:type="dxa" w:w="565"/>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数据治理</w:t>
                  </w:r>
                </w:p>
              </w:tc>
              <w:tc>
                <w:tcPr>
                  <w:tcW w:type="dxa" w:w="5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字典统一</w:t>
                  </w:r>
                </w:p>
              </w:tc>
              <w:tc>
                <w:tcPr>
                  <w:tcW w:type="dxa" w:w="10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ICD 编码、化验 / 检查项目字典与专病库标准对齐，消除异构性</w:t>
                  </w:r>
                </w:p>
              </w:tc>
            </w:tr>
            <w:tr>
              <w:tc>
                <w:tcPr>
                  <w:tcW w:type="dxa" w:w="398"/>
                  <w:vMerge/>
                  <w:tcBorders>
                    <w:top w:val="none" w:color="000000" w:sz="4"/>
                    <w:left w:val="single" w:color="000000" w:sz="4"/>
                    <w:bottom w:val="single" w:color="000000" w:sz="4"/>
                    <w:right w:val="single" w:color="000000" w:sz="4"/>
                  </w:tcBorders>
                </w:tcPr>
                <w:p/>
              </w:tc>
              <w:tc>
                <w:tcPr>
                  <w:tcW w:type="dxa" w:w="565"/>
                  <w:vMerge/>
                  <w:tcBorders>
                    <w:top w:val="none" w:color="000000" w:sz="4"/>
                    <w:left w:val="single" w:color="000000" w:sz="4"/>
                    <w:bottom w:val="single" w:color="000000" w:sz="4"/>
                    <w:right w:val="single" w:color="000000" w:sz="4"/>
                  </w:tcBorders>
                </w:tcPr>
                <w:p/>
              </w:tc>
              <w:tc>
                <w:tcPr>
                  <w:tcW w:type="dxa" w:w="5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历史数据清洗</w:t>
                  </w:r>
                </w:p>
              </w:tc>
              <w:tc>
                <w:tcPr>
                  <w:tcW w:type="dxa" w:w="10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清洗过去一年病例数据（异常值修正</w:t>
                  </w:r>
                  <w:r>
                    <w:rPr>
                      <w:rFonts w:ascii="仿宋_GB2312" w:hAnsi="仿宋_GB2312" w:cs="仿宋_GB2312" w:eastAsia="仿宋_GB2312"/>
                      <w:sz w:val="24"/>
                    </w:rPr>
                    <w:t>/ 缺失值补全），提升数据质量</w:t>
                  </w:r>
                </w:p>
              </w:tc>
            </w:tr>
            <w:tr>
              <w:tc>
                <w:tcPr>
                  <w:tcW w:type="dxa" w:w="398"/>
                  <w:vMerge/>
                  <w:tcBorders>
                    <w:top w:val="none" w:color="000000" w:sz="4"/>
                    <w:left w:val="single" w:color="000000" w:sz="4"/>
                    <w:bottom w:val="single" w:color="000000" w:sz="4"/>
                    <w:right w:val="single" w:color="000000" w:sz="4"/>
                  </w:tcBorders>
                </w:tcPr>
                <w:p/>
              </w:tc>
              <w:tc>
                <w:tcPr>
                  <w:tcW w:type="dxa" w:w="565"/>
                  <w:vMerge/>
                  <w:tcBorders>
                    <w:top w:val="none" w:color="000000" w:sz="4"/>
                    <w:left w:val="single" w:color="000000" w:sz="4"/>
                    <w:bottom w:val="single" w:color="000000" w:sz="4"/>
                    <w:right w:val="single" w:color="000000" w:sz="4"/>
                  </w:tcBorders>
                </w:tcPr>
                <w:p/>
              </w:tc>
              <w:tc>
                <w:tcPr>
                  <w:tcW w:type="dxa" w:w="5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0"/>
                    </w:rPr>
                    <w:t>▲</w:t>
                  </w:r>
                  <w:r>
                    <w:rPr>
                      <w:rFonts w:ascii="仿宋_GB2312" w:hAnsi="仿宋_GB2312" w:cs="仿宋_GB2312" w:eastAsia="仿宋_GB2312"/>
                      <w:sz w:val="24"/>
                    </w:rPr>
                    <w:t>批量导入</w:t>
                  </w:r>
                  <w:r>
                    <w:rPr>
                      <w:rFonts w:ascii="仿宋_GB2312" w:hAnsi="仿宋_GB2312" w:cs="仿宋_GB2312" w:eastAsia="仿宋_GB2312"/>
                      <w:sz w:val="24"/>
                    </w:rPr>
                    <w:t>&amp; 校验</w:t>
                  </w:r>
                </w:p>
              </w:tc>
              <w:tc>
                <w:tcPr>
                  <w:tcW w:type="dxa" w:w="10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开发</w:t>
                  </w:r>
                  <w:r>
                    <w:rPr>
                      <w:rFonts w:ascii="仿宋_GB2312" w:hAnsi="仿宋_GB2312" w:cs="仿宋_GB2312" w:eastAsia="仿宋_GB2312"/>
                      <w:sz w:val="24"/>
                    </w:rPr>
                    <w:t>ETL 脚本实现批量入库，生成完整性 / 准确性校验报告</w:t>
                  </w:r>
                </w:p>
              </w:tc>
            </w:tr>
            <w:tr>
              <w:tc>
                <w:tcPr>
                  <w:tcW w:type="dxa" w:w="398"/>
                  <w:vMerge/>
                  <w:tcBorders>
                    <w:top w:val="none" w:color="000000" w:sz="4"/>
                    <w:left w:val="single" w:color="000000" w:sz="4"/>
                    <w:bottom w:val="single" w:color="000000" w:sz="4"/>
                    <w:right w:val="single" w:color="000000" w:sz="4"/>
                  </w:tcBorders>
                </w:tcPr>
                <w:p/>
              </w:tc>
              <w:tc>
                <w:tcPr>
                  <w:tcW w:type="dxa" w:w="565"/>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随访数据分析</w:t>
                  </w:r>
                </w:p>
              </w:tc>
              <w:tc>
                <w:tcPr>
                  <w:tcW w:type="dxa" w:w="5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随访系统数据对接</w:t>
                  </w:r>
                </w:p>
              </w:tc>
              <w:tc>
                <w:tcPr>
                  <w:tcW w:type="dxa" w:w="10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对接院内随访系统数据，采集随访数据</w:t>
                  </w:r>
                </w:p>
              </w:tc>
            </w:tr>
            <w:tr>
              <w:tc>
                <w:tcPr>
                  <w:tcW w:type="dxa" w:w="398"/>
                  <w:vMerge/>
                  <w:tcBorders>
                    <w:top w:val="none" w:color="000000" w:sz="4"/>
                    <w:left w:val="single" w:color="000000" w:sz="4"/>
                    <w:bottom w:val="single" w:color="000000" w:sz="4"/>
                    <w:right w:val="single" w:color="000000" w:sz="4"/>
                  </w:tcBorders>
                </w:tcPr>
                <w:p/>
              </w:tc>
              <w:tc>
                <w:tcPr>
                  <w:tcW w:type="dxa" w:w="565"/>
                  <w:vMerge/>
                  <w:tcBorders>
                    <w:top w:val="none" w:color="000000" w:sz="4"/>
                    <w:left w:val="single" w:color="000000" w:sz="4"/>
                    <w:bottom w:val="single" w:color="000000" w:sz="4"/>
                    <w:right w:val="single" w:color="000000" w:sz="4"/>
                  </w:tcBorders>
                </w:tcPr>
                <w:p/>
              </w:tc>
              <w:tc>
                <w:tcPr>
                  <w:tcW w:type="dxa" w:w="5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随访分析</w:t>
                  </w:r>
                </w:p>
              </w:tc>
              <w:tc>
                <w:tcPr>
                  <w:tcW w:type="dxa" w:w="10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4"/>
                    </w:rPr>
                    <w:t>统计随访患者再出血</w:t>
                  </w:r>
                  <w:r>
                    <w:rPr>
                      <w:rFonts w:ascii="仿宋_GB2312" w:hAnsi="仿宋_GB2312" w:cs="仿宋_GB2312" w:eastAsia="仿宋_GB2312"/>
                      <w:sz w:val="24"/>
                    </w:rPr>
                    <w:t>/ 再住院率，生成趋势分析报表</w:t>
                  </w:r>
                </w:p>
              </w:tc>
            </w:tr>
          </w:tbl>
          <w:p>
            <w:pPr>
              <w:pStyle w:val="null3"/>
              <w:outlineLvl w:val="2"/>
            </w:pPr>
            <w:r>
              <w:rPr>
                <w:rFonts w:ascii="仿宋_GB2312" w:hAnsi="仿宋_GB2312" w:cs="仿宋_GB2312" w:eastAsia="仿宋_GB2312"/>
                <w:sz w:val="24"/>
                <w:b/>
              </w:rPr>
              <w:t>2.2.2</w:t>
            </w:r>
            <w:r>
              <w:rPr>
                <w:rFonts w:ascii="仿宋_GB2312" w:hAnsi="仿宋_GB2312" w:cs="仿宋_GB2312" w:eastAsia="仿宋_GB2312"/>
                <w:sz w:val="24"/>
                <w:b/>
              </w:rPr>
              <w:t>高血压专病库</w:t>
            </w:r>
          </w:p>
          <w:tbl>
            <w:tblPr>
              <w:tblBorders>
                <w:top w:val="none" w:color="000000" w:sz="4"/>
                <w:left w:val="none" w:color="000000" w:sz="4"/>
                <w:bottom w:val="none" w:color="000000" w:sz="4"/>
                <w:right w:val="none" w:color="000000" w:sz="4"/>
                <w:insideH w:val="none"/>
                <w:insideV w:val="none"/>
              </w:tblBorders>
            </w:tblPr>
            <w:tblGrid>
              <w:gridCol w:w="637"/>
              <w:gridCol w:w="638"/>
              <w:gridCol w:w="638"/>
              <w:gridCol w:w="639"/>
            </w:tblGrid>
            <w:tr>
              <w:tc>
                <w:tcPr>
                  <w:tcW w:type="dxa" w:w="637"/>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系统名称</w:t>
                  </w:r>
                </w:p>
              </w:tc>
              <w:tc>
                <w:tcPr>
                  <w:tcW w:type="dxa" w:w="638"/>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一级模块</w:t>
                  </w:r>
                </w:p>
              </w:tc>
              <w:tc>
                <w:tcPr>
                  <w:tcW w:type="dxa" w:w="638"/>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二级模块</w:t>
                  </w:r>
                </w:p>
              </w:tc>
              <w:tc>
                <w:tcPr>
                  <w:tcW w:type="dxa" w:w="639"/>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三级模块</w:t>
                  </w:r>
                </w:p>
              </w:tc>
            </w:tr>
            <w:tr>
              <w:tc>
                <w:tcPr>
                  <w:tcW w:type="dxa" w:w="637"/>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高血压专病数据库</w:t>
                  </w:r>
                </w:p>
              </w:tc>
              <w:tc>
                <w:tcPr>
                  <w:tcW w:type="dxa" w:w="638"/>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高血压专病数据库（核心）</w:t>
                  </w:r>
                </w:p>
              </w:tc>
              <w:tc>
                <w:tcPr>
                  <w:tcW w:type="dxa" w:w="6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软件基础授权</w:t>
                  </w:r>
                </w:p>
              </w:tc>
              <w:tc>
                <w:tcPr>
                  <w:tcW w:type="dxa" w:w="63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包含标准化高血压结构化数据模型、病例全生命周期管理、字段属性配置、数据字典管理、基础导出功能（支持</w:t>
                  </w:r>
                  <w:r>
                    <w:rPr>
                      <w:rFonts w:ascii="仿宋_GB2312" w:hAnsi="仿宋_GB2312" w:cs="仿宋_GB2312" w:eastAsia="仿宋_GB2312"/>
                      <w:sz w:val="24"/>
                    </w:rPr>
                    <w:t xml:space="preserve"> </w:t>
                  </w:r>
                  <w:r>
                    <w:rPr>
                      <w:rFonts w:ascii="仿宋_GB2312" w:hAnsi="仿宋_GB2312" w:cs="仿宋_GB2312" w:eastAsia="仿宋_GB2312"/>
                      <w:sz w:val="24"/>
                    </w:rPr>
                    <w:t xml:space="preserve">CSV/Excel </w:t>
                  </w:r>
                  <w:r>
                    <w:rPr>
                      <w:rFonts w:ascii="仿宋_GB2312" w:hAnsi="仿宋_GB2312" w:cs="仿宋_GB2312" w:eastAsia="仿宋_GB2312"/>
                      <w:sz w:val="24"/>
                    </w:rPr>
                    <w:t>格式）等，提供</w:t>
                  </w:r>
                  <w:r>
                    <w:rPr>
                      <w:rFonts w:ascii="仿宋_GB2312" w:hAnsi="仿宋_GB2312" w:cs="仿宋_GB2312" w:eastAsia="仿宋_GB2312"/>
                      <w:sz w:val="24"/>
                    </w:rPr>
                    <w:t xml:space="preserve"> </w:t>
                  </w:r>
                  <w:r>
                    <w:rPr>
                      <w:rFonts w:ascii="仿宋_GB2312" w:hAnsi="仿宋_GB2312" w:cs="仿宋_GB2312" w:eastAsia="仿宋_GB2312"/>
                      <w:sz w:val="24"/>
                    </w:rPr>
                    <w:t xml:space="preserve">3 </w:t>
                  </w:r>
                  <w:r>
                    <w:rPr>
                      <w:rFonts w:ascii="仿宋_GB2312" w:hAnsi="仿宋_GB2312" w:cs="仿宋_GB2312" w:eastAsia="仿宋_GB2312"/>
                      <w:sz w:val="24"/>
                    </w:rPr>
                    <w:t>年免费基础授权服务</w:t>
                  </w:r>
                </w:p>
              </w:tc>
            </w:tr>
            <w:tr>
              <w:tc>
                <w:tcPr>
                  <w:tcW w:type="dxa" w:w="637"/>
                  <w:vMerge/>
                  <w:tcBorders>
                    <w:top w:val="none" w:color="000000" w:sz="4"/>
                    <w:left w:val="single" w:color="000000" w:sz="4"/>
                    <w:bottom w:val="single" w:color="000000" w:sz="4"/>
                    <w:right w:val="single" w:color="000000" w:sz="4"/>
                  </w:tcBorders>
                </w:tcP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专病字段规则定制</w:t>
                  </w:r>
                </w:p>
              </w:tc>
              <w:tc>
                <w:tcPr>
                  <w:tcW w:type="dxa" w:w="63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1. ICD-10 </w:t>
                  </w:r>
                  <w:r>
                    <w:rPr>
                      <w:rFonts w:ascii="仿宋_GB2312" w:hAnsi="仿宋_GB2312" w:cs="仿宋_GB2312" w:eastAsia="仿宋_GB2312"/>
                      <w:sz w:val="24"/>
                    </w:rPr>
                    <w:t>编码映射（高血压相关诊断编码标准化）；</w:t>
                  </w:r>
                  <w:r>
                    <w:rPr>
                      <w:rFonts w:ascii="仿宋_GB2312" w:hAnsi="仿宋_GB2312" w:cs="仿宋_GB2312" w:eastAsia="仿宋_GB2312"/>
                      <w:sz w:val="24"/>
                    </w:rPr>
                    <w:t xml:space="preserve">2. </w:t>
                  </w:r>
                  <w:r>
                    <w:rPr>
                      <w:rFonts w:ascii="仿宋_GB2312" w:hAnsi="仿宋_GB2312" w:cs="仿宋_GB2312" w:eastAsia="仿宋_GB2312"/>
                      <w:sz w:val="24"/>
                    </w:rPr>
                    <w:t>高血压危险分层自动计算规则（基于血压值、合并症、靶器官损害等指标）；</w:t>
                  </w:r>
                  <w:r>
                    <w:rPr>
                      <w:rFonts w:ascii="仿宋_GB2312" w:hAnsi="仿宋_GB2312" w:cs="仿宋_GB2312" w:eastAsia="仿宋_GB2312"/>
                      <w:sz w:val="24"/>
                    </w:rPr>
                    <w:t xml:space="preserve">3. </w:t>
                  </w:r>
                  <w:r>
                    <w:rPr>
                      <w:rFonts w:ascii="仿宋_GB2312" w:hAnsi="仿宋_GB2312" w:cs="仿宋_GB2312" w:eastAsia="仿宋_GB2312"/>
                      <w:sz w:val="24"/>
                    </w:rPr>
                    <w:t>血压分级标准配置（符合《中国高血压防治指南》）；</w:t>
                  </w:r>
                  <w:r>
                    <w:rPr>
                      <w:rFonts w:ascii="仿宋_GB2312" w:hAnsi="仿宋_GB2312" w:cs="仿宋_GB2312" w:eastAsia="仿宋_GB2312"/>
                      <w:sz w:val="24"/>
                    </w:rPr>
                    <w:t xml:space="preserve">4. </w:t>
                  </w:r>
                  <w:r>
                    <w:rPr>
                      <w:rFonts w:ascii="仿宋_GB2312" w:hAnsi="仿宋_GB2312" w:cs="仿宋_GB2312" w:eastAsia="仿宋_GB2312"/>
                      <w:sz w:val="24"/>
                    </w:rPr>
                    <w:t>常用降压药物方案库构建（含药物分类、剂量范围、联合用药规则），支持规则可视化配置与修改等</w:t>
                  </w:r>
                </w:p>
              </w:tc>
            </w:tr>
            <w:tr>
              <w:tc>
                <w:tcPr>
                  <w:tcW w:type="dxa" w:w="637"/>
                  <w:vMerge/>
                  <w:tcBorders>
                    <w:top w:val="none" w:color="000000" w:sz="4"/>
                    <w:left w:val="single" w:color="000000" w:sz="4"/>
                    <w:bottom w:val="single" w:color="000000" w:sz="4"/>
                    <w:right w:val="single" w:color="000000" w:sz="4"/>
                  </w:tcBorders>
                </w:tcP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CRF 表单定制</w:t>
                  </w:r>
                </w:p>
              </w:tc>
              <w:tc>
                <w:tcPr>
                  <w:tcW w:type="dxa" w:w="63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1. </w:t>
                  </w:r>
                  <w:r>
                    <w:rPr>
                      <w:rFonts w:ascii="仿宋_GB2312" w:hAnsi="仿宋_GB2312" w:cs="仿宋_GB2312" w:eastAsia="仿宋_GB2312"/>
                      <w:sz w:val="24"/>
                    </w:rPr>
                    <w:t>初诊信息采集表（含病史、体格检查、危险因素等核心字段）；</w:t>
                  </w:r>
                  <w:r>
                    <w:rPr>
                      <w:rFonts w:ascii="仿宋_GB2312" w:hAnsi="仿宋_GB2312" w:cs="仿宋_GB2312" w:eastAsia="仿宋_GB2312"/>
                      <w:sz w:val="24"/>
                    </w:rPr>
                    <w:t xml:space="preserve">2. </w:t>
                  </w:r>
                  <w:r>
                    <w:rPr>
                      <w:rFonts w:ascii="仿宋_GB2312" w:hAnsi="仿宋_GB2312" w:cs="仿宋_GB2312" w:eastAsia="仿宋_GB2312"/>
                      <w:sz w:val="24"/>
                    </w:rPr>
                    <w:t>随访记录表（按季度</w:t>
                  </w:r>
                  <w:r>
                    <w:rPr>
                      <w:rFonts w:ascii="仿宋_GB2312" w:hAnsi="仿宋_GB2312" w:cs="仿宋_GB2312" w:eastAsia="仿宋_GB2312"/>
                      <w:sz w:val="24"/>
                    </w:rPr>
                    <w:t xml:space="preserve"> </w:t>
                  </w:r>
                  <w:r>
                    <w:rPr>
                      <w:rFonts w:ascii="仿宋_GB2312" w:hAnsi="仿宋_GB2312" w:cs="仿宋_GB2312" w:eastAsia="仿宋_GB2312"/>
                      <w:sz w:val="24"/>
                    </w:rPr>
                    <w:t xml:space="preserve">/ </w:t>
                  </w:r>
                  <w:r>
                    <w:rPr>
                      <w:rFonts w:ascii="仿宋_GB2312" w:hAnsi="仿宋_GB2312" w:cs="仿宋_GB2312" w:eastAsia="仿宋_GB2312"/>
                      <w:sz w:val="24"/>
                    </w:rPr>
                    <w:t>半年随访周期设计，含血压监测、用药调整、并发症评估）；</w:t>
                  </w:r>
                  <w:r>
                    <w:rPr>
                      <w:rFonts w:ascii="仿宋_GB2312" w:hAnsi="仿宋_GB2312" w:cs="仿宋_GB2312" w:eastAsia="仿宋_GB2312"/>
                      <w:sz w:val="24"/>
                    </w:rPr>
                    <w:t xml:space="preserve">3. </w:t>
                  </w:r>
                  <w:r>
                    <w:rPr>
                      <w:rFonts w:ascii="仿宋_GB2312" w:hAnsi="仿宋_GB2312" w:cs="仿宋_GB2312" w:eastAsia="仿宋_GB2312"/>
                      <w:sz w:val="24"/>
                    </w:rPr>
                    <w:t>用药记录表（支持药物名称、剂量、频次、给药途径录入与变更追踪）；</w:t>
                  </w:r>
                  <w:r>
                    <w:rPr>
                      <w:rFonts w:ascii="仿宋_GB2312" w:hAnsi="仿宋_GB2312" w:cs="仿宋_GB2312" w:eastAsia="仿宋_GB2312"/>
                      <w:sz w:val="24"/>
                    </w:rPr>
                    <w:t xml:space="preserve">4. </w:t>
                  </w:r>
                  <w:r>
                    <w:rPr>
                      <w:rFonts w:ascii="仿宋_GB2312" w:hAnsi="仿宋_GB2312" w:cs="仿宋_GB2312" w:eastAsia="仿宋_GB2312"/>
                      <w:sz w:val="24"/>
                    </w:rPr>
                    <w:t>表单逻辑校验规则开发（如必填字段校验、数值范围校验、逻辑一致性校验）等</w:t>
                  </w:r>
                </w:p>
              </w:tc>
            </w:tr>
            <w:tr>
              <w:tc>
                <w:tcPr>
                  <w:tcW w:type="dxa" w:w="637"/>
                  <w:vMerge/>
                  <w:tcBorders>
                    <w:top w:val="none" w:color="000000" w:sz="4"/>
                    <w:left w:val="single" w:color="000000" w:sz="4"/>
                    <w:bottom w:val="single" w:color="000000" w:sz="4"/>
                    <w:right w:val="single" w:color="000000" w:sz="4"/>
                  </w:tcBorders>
                </w:tcP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统计报表</w:t>
                  </w:r>
                </w:p>
              </w:tc>
              <w:tc>
                <w:tcPr>
                  <w:tcW w:type="dxa" w:w="63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1. </w:t>
                  </w:r>
                  <w:r>
                    <w:rPr>
                      <w:rFonts w:ascii="仿宋_GB2312" w:hAnsi="仿宋_GB2312" w:cs="仿宋_GB2312" w:eastAsia="仿宋_GB2312"/>
                      <w:sz w:val="24"/>
                    </w:rPr>
                    <w:t>血压控制率统计（按人群、时间、科室维度）；</w:t>
                  </w:r>
                  <w:r>
                    <w:rPr>
                      <w:rFonts w:ascii="仿宋_GB2312" w:hAnsi="仿宋_GB2312" w:cs="仿宋_GB2312" w:eastAsia="仿宋_GB2312"/>
                      <w:sz w:val="24"/>
                    </w:rPr>
                    <w:t xml:space="preserve">2. </w:t>
                  </w:r>
                  <w:r>
                    <w:rPr>
                      <w:rFonts w:ascii="仿宋_GB2312" w:hAnsi="仿宋_GB2312" w:cs="仿宋_GB2312" w:eastAsia="仿宋_GB2312"/>
                      <w:sz w:val="24"/>
                    </w:rPr>
                    <w:t>用药依从性分析报表（服药率、漏服率、剂量调整统计）；</w:t>
                  </w:r>
                  <w:r>
                    <w:rPr>
                      <w:rFonts w:ascii="仿宋_GB2312" w:hAnsi="仿宋_GB2312" w:cs="仿宋_GB2312" w:eastAsia="仿宋_GB2312"/>
                      <w:sz w:val="24"/>
                    </w:rPr>
                    <w:t xml:space="preserve">3. </w:t>
                  </w:r>
                  <w:r>
                    <w:rPr>
                      <w:rFonts w:ascii="仿宋_GB2312" w:hAnsi="仿宋_GB2312" w:cs="仿宋_GB2312" w:eastAsia="仿宋_GB2312"/>
                      <w:sz w:val="24"/>
                    </w:rPr>
                    <w:t>危险分层分布报表；</w:t>
                  </w:r>
                  <w:r>
                    <w:rPr>
                      <w:rFonts w:ascii="仿宋_GB2312" w:hAnsi="仿宋_GB2312" w:cs="仿宋_GB2312" w:eastAsia="仿宋_GB2312"/>
                      <w:sz w:val="24"/>
                    </w:rPr>
                    <w:t xml:space="preserve">4. </w:t>
                  </w:r>
                  <w:r>
                    <w:rPr>
                      <w:rFonts w:ascii="仿宋_GB2312" w:hAnsi="仿宋_GB2312" w:cs="仿宋_GB2312" w:eastAsia="仿宋_GB2312"/>
                      <w:sz w:val="24"/>
                    </w:rPr>
                    <w:t>并发症发生情况统计，支持报表导出与打印等</w:t>
                  </w:r>
                </w:p>
              </w:tc>
            </w:tr>
            <w:tr>
              <w:tc>
                <w:tcPr>
                  <w:tcW w:type="dxa" w:w="637"/>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随访系统数据对接</w:t>
                  </w:r>
                </w:p>
              </w:tc>
              <w:tc>
                <w:tcPr>
                  <w:tcW w:type="dxa" w:w="6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随访系统数据对接</w:t>
                  </w:r>
                </w:p>
              </w:tc>
              <w:tc>
                <w:tcPr>
                  <w:tcW w:type="dxa" w:w="63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对接院内随访系统数据，采集随访数据</w:t>
                  </w:r>
                </w:p>
              </w:tc>
            </w:tr>
            <w:tr>
              <w:tc>
                <w:tcPr>
                  <w:tcW w:type="dxa" w:w="637"/>
                  <w:vMerge/>
                  <w:tcBorders>
                    <w:top w:val="none" w:color="000000" w:sz="4"/>
                    <w:left w:val="single" w:color="000000" w:sz="4"/>
                    <w:bottom w:val="single" w:color="000000" w:sz="4"/>
                    <w:right w:val="single" w:color="000000" w:sz="4"/>
                  </w:tcBorders>
                </w:tcPr>
                <w:p/>
              </w:tc>
              <w:tc>
                <w:tcPr>
                  <w:tcW w:type="dxa" w:w="638"/>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接口建设</w:t>
                  </w:r>
                </w:p>
              </w:tc>
              <w:tc>
                <w:tcPr>
                  <w:tcW w:type="dxa" w:w="6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HIS 基础接口</w:t>
                  </w:r>
                </w:p>
              </w:tc>
              <w:tc>
                <w:tcPr>
                  <w:tcW w:type="dxa" w:w="63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 患者主索引（EMPI）同步（姓名、性别、年龄、身份证号等核心信息）；2. 住院记录同步（住院号、入院时间、出院时间、床位信息）；3. 门诊就诊记录同步（就诊时间、就诊科室、接诊医生）；4. 接口开发、单元测试、集成测试，提供完整接口文档</w:t>
                  </w:r>
                </w:p>
              </w:tc>
            </w:tr>
            <w:tr>
              <w:tc>
                <w:tcPr>
                  <w:tcW w:type="dxa" w:w="637"/>
                  <w:vMerge/>
                  <w:tcBorders>
                    <w:top w:val="none" w:color="000000" w:sz="4"/>
                    <w:left w:val="single" w:color="000000" w:sz="4"/>
                    <w:bottom w:val="single" w:color="000000" w:sz="4"/>
                    <w:right w:val="single" w:color="000000" w:sz="4"/>
                  </w:tcBorders>
                </w:tcP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EMR 诊断接口</w:t>
                  </w:r>
                </w:p>
              </w:tc>
              <w:tc>
                <w:tcPr>
                  <w:tcW w:type="dxa" w:w="63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 住院 / 门诊诊断摘要同步（主诊断、次要诊断）；2. 高血压分级字段同步（基于 EMR 记录自动提取或映射）；3. 病程记录中高血压相关关键信息结构化提取（如发病时间、症状描述）；4. 接口数据实时同步配置与测试</w:t>
                  </w:r>
                </w:p>
              </w:tc>
            </w:tr>
            <w:tr>
              <w:tc>
                <w:tcPr>
                  <w:tcW w:type="dxa" w:w="637"/>
                  <w:vMerge/>
                  <w:tcBorders>
                    <w:top w:val="none" w:color="000000" w:sz="4"/>
                    <w:left w:val="single" w:color="000000" w:sz="4"/>
                    <w:bottom w:val="single" w:color="000000" w:sz="4"/>
                    <w:right w:val="single" w:color="000000" w:sz="4"/>
                  </w:tcBorders>
                </w:tcP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LIS 关键检验字段</w:t>
                  </w:r>
                </w:p>
              </w:tc>
              <w:tc>
                <w:tcPr>
                  <w:tcW w:type="dxa" w:w="63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 血脂相关指标（总胆固醇、甘油三酯、LDL-C、HDL-C）；2. 肾功能指标（肌酐、尿素氮、尿酸）；3. 电解质（钾、钠、氯）；4. 检验结果同步、异常值标记、参考范围关联</w:t>
                  </w:r>
                </w:p>
              </w:tc>
            </w:tr>
            <w:tr>
              <w:tc>
                <w:tcPr>
                  <w:tcW w:type="dxa" w:w="637"/>
                  <w:vMerge/>
                  <w:tcBorders>
                    <w:top w:val="none" w:color="000000" w:sz="4"/>
                    <w:left w:val="single" w:color="000000" w:sz="4"/>
                    <w:bottom w:val="single" w:color="000000" w:sz="4"/>
                    <w:right w:val="single" w:color="000000" w:sz="4"/>
                  </w:tcBorders>
                </w:tcP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联调与验证</w:t>
                  </w:r>
                </w:p>
              </w:tc>
              <w:tc>
                <w:tcPr>
                  <w:tcW w:type="dxa" w:w="63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 多系统（HIS/EMR/LIS）联合调试；2. 数据一致性验证（接口数据与源系统数据比对）；3. 接口异常处理机制开发（重试、告警、日志记录）；4. 两轮全流程联调测试与问题修复</w:t>
                  </w:r>
                </w:p>
              </w:tc>
            </w:tr>
            <w:tr>
              <w:tc>
                <w:tcPr>
                  <w:tcW w:type="dxa" w:w="637"/>
                  <w:vMerge/>
                  <w:tcBorders>
                    <w:top w:val="none" w:color="000000" w:sz="4"/>
                    <w:left w:val="single" w:color="000000" w:sz="4"/>
                    <w:bottom w:val="single" w:color="000000" w:sz="4"/>
                    <w:right w:val="single" w:color="000000" w:sz="4"/>
                  </w:tcBorders>
                </w:tcPr>
                <w:p/>
              </w:tc>
              <w:tc>
                <w:tcPr>
                  <w:tcW w:type="dxa" w:w="638"/>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数据治理与导入</w:t>
                  </w:r>
                </w:p>
              </w:tc>
              <w:tc>
                <w:tcPr>
                  <w:tcW w:type="dxa" w:w="6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数据字典映射</w:t>
                  </w:r>
                </w:p>
              </w:tc>
              <w:tc>
                <w:tcPr>
                  <w:tcW w:type="dxa" w:w="63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 源系统字段与专病库标准字段 mapping 配置；2. 检验项目、药物名称、诊断术语等字典对齐；3. ICD-10 编码与本院内部编码映射；4. 映射规则文档编制与维护</w:t>
                  </w:r>
                </w:p>
              </w:tc>
            </w:tr>
            <w:tr>
              <w:tc>
                <w:tcPr>
                  <w:tcW w:type="dxa" w:w="637"/>
                  <w:vMerge/>
                  <w:tcBorders>
                    <w:top w:val="none" w:color="000000" w:sz="4"/>
                    <w:left w:val="single" w:color="000000" w:sz="4"/>
                    <w:bottom w:val="single" w:color="000000" w:sz="4"/>
                    <w:right w:val="single" w:color="000000" w:sz="4"/>
                  </w:tcBorders>
                </w:tcP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清洗与数据验证</w:t>
                  </w:r>
                </w:p>
              </w:tc>
              <w:tc>
                <w:tcPr>
                  <w:tcW w:type="dxa" w:w="63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 近 1-2 年高血压病例数据筛选（预计 800-1000 例）；2. 异常数据清洗（缺失值补全、逻辑矛盾修正、格式标准化）；3. 关键字段完整性与准确性验证；4. 数据质量报告生成（缺失率、异常率统计）</w:t>
                  </w:r>
                </w:p>
              </w:tc>
            </w:tr>
            <w:tr>
              <w:tc>
                <w:tcPr>
                  <w:tcW w:type="dxa" w:w="637"/>
                  <w:vMerge/>
                  <w:tcBorders>
                    <w:top w:val="none" w:color="000000" w:sz="4"/>
                    <w:left w:val="single" w:color="000000" w:sz="4"/>
                    <w:bottom w:val="single" w:color="000000" w:sz="4"/>
                    <w:right w:val="single" w:color="000000" w:sz="4"/>
                  </w:tcBorders>
                </w:tcP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批量导入脚本</w:t>
                  </w:r>
                </w:p>
              </w:tc>
              <w:tc>
                <w:tcPr>
                  <w:tcW w:type="dxa" w:w="63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 数据导入脚本开发（支持按科室、时间批次导入）；2. 导入过程监控与日志记录；3. 导入数据质控校验（符合专病库数据标准）；4. 导入结果验证与数据回滚机制</w:t>
                  </w:r>
                </w:p>
              </w:tc>
            </w:tr>
            <w:tr>
              <w:tc>
                <w:tcPr>
                  <w:tcW w:type="dxa" w:w="637"/>
                  <w:vMerge/>
                  <w:tcBorders>
                    <w:top w:val="none" w:color="000000" w:sz="4"/>
                    <w:left w:val="single" w:color="000000" w:sz="4"/>
                    <w:bottom w:val="single" w:color="000000" w:sz="4"/>
                    <w:right w:val="single" w:color="000000" w:sz="4"/>
                  </w:tcBorders>
                </w:tcPr>
                <w:p/>
              </w:tc>
              <w:tc>
                <w:tcPr>
                  <w:tcW w:type="dxa" w:w="638"/>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统计报表与科研支持</w:t>
                  </w:r>
                </w:p>
              </w:tc>
              <w:tc>
                <w:tcPr>
                  <w:tcW w:type="dxa" w:w="6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4"/>
                    </w:rPr>
                    <w:t>管理看板</w:t>
                  </w:r>
                </w:p>
              </w:tc>
              <w:tc>
                <w:tcPr>
                  <w:tcW w:type="dxa" w:w="63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 高危患者监控看板（按危险分层、血压控制情况、并发症风险标记）；2. 整体血压控制率看板（全院、科室、医生维度实时统计）；3. 患者分层分布看板（年龄、性别、合并症分布）；4. 看板可视化配置（支持图表类型切换、筛选条件设置）</w:t>
                  </w:r>
                </w:p>
              </w:tc>
            </w:tr>
            <w:tr>
              <w:tc>
                <w:tcPr>
                  <w:tcW w:type="dxa" w:w="637"/>
                  <w:vMerge/>
                  <w:tcBorders>
                    <w:top w:val="none" w:color="000000" w:sz="4"/>
                    <w:left w:val="single" w:color="000000" w:sz="4"/>
                    <w:bottom w:val="single" w:color="000000" w:sz="4"/>
                    <w:right w:val="single" w:color="000000" w:sz="4"/>
                  </w:tcBorders>
                </w:tcP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患者查询</w:t>
                  </w:r>
                </w:p>
              </w:tc>
              <w:tc>
                <w:tcPr>
                  <w:tcW w:type="dxa" w:w="63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可按时间段快速查询原发性高血压、继发性高血压等相关诊断患者统计数据</w:t>
                  </w:r>
                </w:p>
              </w:tc>
            </w:tr>
            <w:tr>
              <w:tc>
                <w:tcPr>
                  <w:tcW w:type="dxa" w:w="637"/>
                  <w:vMerge/>
                  <w:tcBorders>
                    <w:top w:val="none" w:color="000000" w:sz="4"/>
                    <w:left w:val="single" w:color="000000" w:sz="4"/>
                    <w:bottom w:val="single" w:color="000000" w:sz="4"/>
                    <w:right w:val="single" w:color="000000" w:sz="4"/>
                  </w:tcBorders>
                </w:tcP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数据导出</w:t>
                  </w:r>
                </w:p>
              </w:tc>
              <w:tc>
                <w:tcPr>
                  <w:tcW w:type="dxa" w:w="63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 科研专用数据导出功能（支持按入排条件筛选患者导出）；2. 导出格式支持 CSV/Excel，含数据字典说明；3. 科研接口开发（支持与统计分析软件对接）；4. 导出数据脱敏处理（隐藏身份证号、手机号等敏感信息）</w:t>
                  </w:r>
                </w:p>
              </w:tc>
            </w:tr>
          </w:tbl>
          <w:p>
            <w:pPr>
              <w:pStyle w:val="null3"/>
              <w:outlineLvl w:val="2"/>
            </w:pPr>
            <w:r>
              <w:rPr>
                <w:rFonts w:ascii="仿宋_GB2312" w:hAnsi="仿宋_GB2312" w:cs="仿宋_GB2312" w:eastAsia="仿宋_GB2312"/>
                <w:sz w:val="24"/>
                <w:b/>
              </w:rPr>
              <w:t>2.2.3</w:t>
            </w:r>
            <w:r>
              <w:rPr>
                <w:rFonts w:ascii="仿宋_GB2312" w:hAnsi="仿宋_GB2312" w:cs="仿宋_GB2312" w:eastAsia="仿宋_GB2312"/>
                <w:sz w:val="24"/>
                <w:b/>
              </w:rPr>
              <w:t>妇科肿瘤专病库</w:t>
            </w:r>
          </w:p>
          <w:tbl>
            <w:tblPr>
              <w:tblBorders>
                <w:top w:val="none" w:color="000000" w:sz="4"/>
                <w:left w:val="none" w:color="000000" w:sz="4"/>
                <w:bottom w:val="none" w:color="000000" w:sz="4"/>
                <w:right w:val="none" w:color="000000" w:sz="4"/>
                <w:insideH w:val="none"/>
                <w:insideV w:val="none"/>
              </w:tblBorders>
            </w:tblPr>
            <w:tblGrid>
              <w:gridCol w:w="370"/>
              <w:gridCol w:w="406"/>
              <w:gridCol w:w="555"/>
              <w:gridCol w:w="1221"/>
            </w:tblGrid>
            <w:tr>
              <w:tc>
                <w:tcPr>
                  <w:tcW w:type="dxa" w:w="370"/>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系统名称</w:t>
                  </w:r>
                </w:p>
              </w:tc>
              <w:tc>
                <w:tcPr>
                  <w:tcW w:type="dxa" w:w="406"/>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一级模块</w:t>
                  </w:r>
                </w:p>
              </w:tc>
              <w:tc>
                <w:tcPr>
                  <w:tcW w:type="dxa" w:w="555"/>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二级模块</w:t>
                  </w:r>
                </w:p>
              </w:tc>
              <w:tc>
                <w:tcPr>
                  <w:tcW w:type="dxa" w:w="1221"/>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三级模块</w:t>
                  </w:r>
                </w:p>
              </w:tc>
            </w:tr>
            <w:tr>
              <w:tc>
                <w:tcPr>
                  <w:tcW w:type="dxa" w:w="37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妇科肿瘤专病库</w:t>
                  </w:r>
                </w:p>
              </w:tc>
              <w:tc>
                <w:tcPr>
                  <w:tcW w:type="dxa" w:w="40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专病数据库（核心）</w:t>
                  </w:r>
                </w:p>
              </w:tc>
              <w:tc>
                <w:tcPr>
                  <w:tcW w:type="dxa" w:w="5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基础软件授权</w:t>
                  </w:r>
                </w:p>
              </w:tc>
              <w:tc>
                <w:tcPr>
                  <w:tcW w:type="dxa" w:w="12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核心平台授权（含数据字典、病例管理、</w:t>
                  </w:r>
                  <w:r>
                    <w:rPr>
                      <w:rFonts w:ascii="仿宋_GB2312" w:hAnsi="仿宋_GB2312" w:cs="仿宋_GB2312" w:eastAsia="仿宋_GB2312"/>
                      <w:sz w:val="24"/>
                    </w:rPr>
                    <w:t xml:space="preserve">CRF </w:t>
                  </w:r>
                  <w:r>
                    <w:rPr>
                      <w:rFonts w:ascii="仿宋_GB2312" w:hAnsi="仿宋_GB2312" w:cs="仿宋_GB2312" w:eastAsia="仿宋_GB2312"/>
                      <w:sz w:val="24"/>
                    </w:rPr>
                    <w:t>引擎、导出），专病基础数据管理功能等</w:t>
                  </w:r>
                </w:p>
              </w:tc>
            </w:tr>
            <w:tr>
              <w:tc>
                <w:tcPr>
                  <w:tcW w:type="dxa" w:w="370"/>
                  <w:vMerge/>
                  <w:tcBorders>
                    <w:top w:val="none" w:color="000000" w:sz="4"/>
                    <w:left w:val="single" w:color="000000" w:sz="4"/>
                    <w:bottom w:val="single" w:color="000000" w:sz="4"/>
                    <w:right w:val="single" w:color="000000" w:sz="4"/>
                  </w:tcBorders>
                </w:tcPr>
                <w:p/>
              </w:tc>
              <w:tc>
                <w:tcPr>
                  <w:tcW w:type="dxa" w:w="406"/>
                  <w:vMerge/>
                  <w:tcBorders>
                    <w:top w:val="none" w:color="000000" w:sz="4"/>
                    <w:left w:val="single" w:color="000000" w:sz="4"/>
                    <w:bottom w:val="single" w:color="000000" w:sz="4"/>
                    <w:right w:val="single" w:color="000000" w:sz="4"/>
                  </w:tcBorders>
                </w:tcPr>
                <w:p/>
              </w:tc>
              <w:tc>
                <w:tcPr>
                  <w:tcW w:type="dxa" w:w="5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4"/>
                    </w:rPr>
                    <w:t>CRF / 模板定制</w:t>
                  </w:r>
                </w:p>
              </w:tc>
              <w:tc>
                <w:tcPr>
                  <w:tcW w:type="dxa" w:w="12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专病模板深度定制，含核心字段定义、派生字段逻辑配置、临床术语标准化映射、表单逻辑校验及导出脚本开发等</w:t>
                  </w:r>
                </w:p>
              </w:tc>
            </w:tr>
            <w:tr>
              <w:tc>
                <w:tcPr>
                  <w:tcW w:type="dxa" w:w="370"/>
                  <w:vMerge/>
                  <w:tcBorders>
                    <w:top w:val="none" w:color="000000" w:sz="4"/>
                    <w:left w:val="single" w:color="000000" w:sz="4"/>
                    <w:bottom w:val="single" w:color="000000" w:sz="4"/>
                    <w:right w:val="single" w:color="000000" w:sz="4"/>
                  </w:tcBorders>
                </w:tcPr>
                <w:p/>
              </w:tc>
              <w:tc>
                <w:tcPr>
                  <w:tcW w:type="dxa" w:w="406"/>
                  <w:vMerge/>
                  <w:tcBorders>
                    <w:top w:val="none" w:color="000000" w:sz="4"/>
                    <w:left w:val="single" w:color="000000" w:sz="4"/>
                    <w:bottom w:val="single" w:color="000000" w:sz="4"/>
                    <w:right w:val="single" w:color="000000" w:sz="4"/>
                  </w:tcBorders>
                </w:tcPr>
                <w:p/>
              </w:tc>
              <w:tc>
                <w:tcPr>
                  <w:tcW w:type="dxa" w:w="5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报表</w:t>
                  </w:r>
                  <w:r>
                    <w:rPr>
                      <w:rFonts w:ascii="仿宋_GB2312" w:hAnsi="仿宋_GB2312" w:cs="仿宋_GB2312" w:eastAsia="仿宋_GB2312"/>
                      <w:sz w:val="24"/>
                    </w:rPr>
                    <w:t>/ 统计模块</w:t>
                  </w:r>
                </w:p>
              </w:tc>
              <w:tc>
                <w:tcPr>
                  <w:tcW w:type="dxa" w:w="12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基础统计分析（描述性统计、频数分布）、随访数据汇总、多格式导出（</w:t>
                  </w:r>
                  <w:r>
                    <w:rPr>
                      <w:rFonts w:ascii="仿宋_GB2312" w:hAnsi="仿宋_GB2312" w:cs="仿宋_GB2312" w:eastAsia="仿宋_GB2312"/>
                      <w:sz w:val="24"/>
                    </w:rPr>
                    <w:t>Excel/CSV/PDF</w:t>
                  </w:r>
                  <w:r>
                    <w:rPr>
                      <w:rFonts w:ascii="仿宋_GB2312" w:hAnsi="仿宋_GB2312" w:cs="仿宋_GB2312" w:eastAsia="仿宋_GB2312"/>
                      <w:sz w:val="24"/>
                    </w:rPr>
                    <w:t>），支持专病核心指标可视化展示等</w:t>
                  </w:r>
                </w:p>
              </w:tc>
            </w:tr>
            <w:tr>
              <w:tc>
                <w:tcPr>
                  <w:tcW w:type="dxa" w:w="370"/>
                  <w:vMerge/>
                  <w:tcBorders>
                    <w:top w:val="none" w:color="000000" w:sz="4"/>
                    <w:left w:val="single" w:color="000000" w:sz="4"/>
                    <w:bottom w:val="single" w:color="000000" w:sz="4"/>
                    <w:right w:val="single" w:color="000000" w:sz="4"/>
                  </w:tcBorders>
                </w:tcPr>
                <w:p/>
              </w:tc>
              <w:tc>
                <w:tcPr>
                  <w:tcW w:type="dxa" w:w="40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影像对接</w:t>
                  </w:r>
                </w:p>
              </w:tc>
              <w:tc>
                <w:tcPr>
                  <w:tcW w:type="dxa" w:w="5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PACS 接口适配</w:t>
                  </w:r>
                </w:p>
              </w:tc>
              <w:tc>
                <w:tcPr>
                  <w:tcW w:type="dxa" w:w="12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PACS 系统接口开发与测试，同步影像元数据（检查时间、部位、报告编号）及报告链接，不存储全量 DICOM 数据</w:t>
                  </w:r>
                </w:p>
              </w:tc>
            </w:tr>
            <w:tr>
              <w:tc>
                <w:tcPr>
                  <w:tcW w:type="dxa" w:w="370"/>
                  <w:vMerge/>
                  <w:tcBorders>
                    <w:top w:val="none" w:color="000000" w:sz="4"/>
                    <w:left w:val="single" w:color="000000" w:sz="4"/>
                    <w:bottom w:val="single" w:color="000000" w:sz="4"/>
                    <w:right w:val="single" w:color="000000" w:sz="4"/>
                  </w:tcBorders>
                </w:tcPr>
                <w:p/>
              </w:tc>
              <w:tc>
                <w:tcPr>
                  <w:tcW w:type="dxa" w:w="406"/>
                  <w:vMerge/>
                  <w:tcBorders>
                    <w:top w:val="none" w:color="000000" w:sz="4"/>
                    <w:left w:val="single" w:color="000000" w:sz="4"/>
                    <w:bottom w:val="single" w:color="000000" w:sz="4"/>
                    <w:right w:val="single" w:color="000000" w:sz="4"/>
                  </w:tcBorders>
                </w:tcPr>
                <w:p/>
              </w:tc>
              <w:tc>
                <w:tcPr>
                  <w:tcW w:type="dxa" w:w="5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影像预览</w:t>
                  </w:r>
                  <w:r>
                    <w:rPr>
                      <w:rFonts w:ascii="仿宋_GB2312" w:hAnsi="仿宋_GB2312" w:cs="仿宋_GB2312" w:eastAsia="仿宋_GB2312"/>
                      <w:sz w:val="24"/>
                    </w:rPr>
                    <w:t>/ 跳转</w:t>
                  </w:r>
                </w:p>
              </w:tc>
              <w:tc>
                <w:tcPr>
                  <w:tcW w:type="dxa" w:w="12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在专病库系统中实现影像报告结构化预览，支持一键跳转至</w:t>
                  </w:r>
                  <w:r>
                    <w:rPr>
                      <w:rFonts w:ascii="仿宋_GB2312" w:hAnsi="仿宋_GB2312" w:cs="仿宋_GB2312" w:eastAsia="仿宋_GB2312"/>
                      <w:sz w:val="24"/>
                    </w:rPr>
                    <w:t>PACS 系统查看原始影像</w:t>
                  </w:r>
                </w:p>
              </w:tc>
            </w:tr>
            <w:tr>
              <w:tc>
                <w:tcPr>
                  <w:tcW w:type="dxa" w:w="370"/>
                  <w:vMerge/>
                  <w:tcBorders>
                    <w:top w:val="none" w:color="000000" w:sz="4"/>
                    <w:left w:val="single" w:color="000000" w:sz="4"/>
                    <w:bottom w:val="single" w:color="000000" w:sz="4"/>
                    <w:right w:val="single" w:color="000000" w:sz="4"/>
                  </w:tcBorders>
                </w:tcPr>
                <w:p/>
              </w:tc>
              <w:tc>
                <w:tcPr>
                  <w:tcW w:type="dxa" w:w="406"/>
                  <w:vMerge/>
                  <w:tcBorders>
                    <w:top w:val="none" w:color="000000" w:sz="4"/>
                    <w:left w:val="single" w:color="000000" w:sz="4"/>
                    <w:bottom w:val="single" w:color="000000" w:sz="4"/>
                    <w:right w:val="single" w:color="000000" w:sz="4"/>
                  </w:tcBorders>
                </w:tcPr>
                <w:p/>
              </w:tc>
              <w:tc>
                <w:tcPr>
                  <w:tcW w:type="dxa" w:w="5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缩略图</w:t>
                  </w:r>
                  <w:r>
                    <w:rPr>
                      <w:rFonts w:ascii="仿宋_GB2312" w:hAnsi="仿宋_GB2312" w:cs="仿宋_GB2312" w:eastAsia="仿宋_GB2312"/>
                      <w:sz w:val="24"/>
                    </w:rPr>
                    <w:t>&amp; 元数据存储</w:t>
                  </w:r>
                </w:p>
              </w:tc>
              <w:tc>
                <w:tcPr>
                  <w:tcW w:type="dxa" w:w="12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关键影像缩略图生成、影像检查元数据（检查类型、设备信息）存储与关联管理，优化存储成本</w:t>
                  </w:r>
                </w:p>
              </w:tc>
            </w:tr>
            <w:tr>
              <w:tc>
                <w:tcPr>
                  <w:tcW w:type="dxa" w:w="370"/>
                  <w:vMerge/>
                  <w:tcBorders>
                    <w:top w:val="none" w:color="000000" w:sz="4"/>
                    <w:left w:val="single" w:color="000000" w:sz="4"/>
                    <w:bottom w:val="single" w:color="000000" w:sz="4"/>
                    <w:right w:val="single" w:color="000000" w:sz="4"/>
                  </w:tcBorders>
                </w:tcPr>
                <w:p/>
              </w:tc>
              <w:tc>
                <w:tcPr>
                  <w:tcW w:type="dxa" w:w="40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病理对接</w:t>
                  </w:r>
                </w:p>
              </w:tc>
              <w:tc>
                <w:tcPr>
                  <w:tcW w:type="dxa" w:w="5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LIS 报告字段对接</w:t>
                  </w:r>
                </w:p>
              </w:tc>
              <w:tc>
                <w:tcPr>
                  <w:tcW w:type="dxa" w:w="12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病理报告文本、病理号、取材部位、病理类型等关键字段对接，实现与病例数据关联</w:t>
                  </w:r>
                </w:p>
              </w:tc>
            </w:tr>
            <w:tr>
              <w:tc>
                <w:tcPr>
                  <w:tcW w:type="dxa" w:w="370"/>
                  <w:vMerge/>
                  <w:tcBorders>
                    <w:top w:val="none" w:color="000000" w:sz="4"/>
                    <w:left w:val="single" w:color="000000" w:sz="4"/>
                    <w:bottom w:val="single" w:color="000000" w:sz="4"/>
                    <w:right w:val="single" w:color="000000" w:sz="4"/>
                  </w:tcBorders>
                </w:tcPr>
                <w:p/>
              </w:tc>
              <w:tc>
                <w:tcPr>
                  <w:tcW w:type="dxa" w:w="406"/>
                  <w:vMerge/>
                  <w:tcBorders>
                    <w:top w:val="none" w:color="000000" w:sz="4"/>
                    <w:left w:val="single" w:color="000000" w:sz="4"/>
                    <w:bottom w:val="single" w:color="000000" w:sz="4"/>
                    <w:right w:val="single" w:color="000000" w:sz="4"/>
                  </w:tcBorders>
                </w:tcPr>
                <w:p/>
              </w:tc>
              <w:tc>
                <w:tcPr>
                  <w:tcW w:type="dxa" w:w="5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报告</w:t>
                  </w:r>
                  <w:r>
                    <w:rPr>
                      <w:rFonts w:ascii="仿宋_GB2312" w:hAnsi="仿宋_GB2312" w:cs="仿宋_GB2312" w:eastAsia="仿宋_GB2312"/>
                      <w:sz w:val="24"/>
                    </w:rPr>
                    <w:t>PDF 存储</w:t>
                  </w:r>
                </w:p>
              </w:tc>
              <w:tc>
                <w:tcPr>
                  <w:tcW w:type="dxa" w:w="12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病理报告</w:t>
                  </w:r>
                  <w:r>
                    <w:rPr>
                      <w:rFonts w:ascii="仿宋_GB2312" w:hAnsi="仿宋_GB2312" w:cs="仿宋_GB2312" w:eastAsia="仿宋_GB2312"/>
                      <w:sz w:val="24"/>
                    </w:rPr>
                    <w:t>PDF 或扫描件存档，支持按病例、时间维度检索查阅</w:t>
                  </w:r>
                </w:p>
              </w:tc>
            </w:tr>
            <w:tr>
              <w:tc>
                <w:tcPr>
                  <w:tcW w:type="dxa" w:w="370"/>
                  <w:vMerge/>
                  <w:tcBorders>
                    <w:top w:val="none" w:color="000000" w:sz="4"/>
                    <w:left w:val="single" w:color="000000" w:sz="4"/>
                    <w:bottom w:val="single" w:color="000000" w:sz="4"/>
                    <w:right w:val="single" w:color="000000" w:sz="4"/>
                  </w:tcBorders>
                </w:tcPr>
                <w:p/>
              </w:tc>
              <w:tc>
                <w:tcPr>
                  <w:tcW w:type="dxa" w:w="406"/>
                  <w:vMerge/>
                  <w:tcBorders>
                    <w:top w:val="none" w:color="000000" w:sz="4"/>
                    <w:left w:val="single" w:color="000000" w:sz="4"/>
                    <w:bottom w:val="single" w:color="000000" w:sz="4"/>
                    <w:right w:val="single" w:color="000000" w:sz="4"/>
                  </w:tcBorders>
                </w:tcPr>
                <w:p/>
              </w:tc>
              <w:tc>
                <w:tcPr>
                  <w:tcW w:type="dxa" w:w="5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病理关联</w:t>
                  </w:r>
                  <w:r>
                    <w:rPr>
                      <w:rFonts w:ascii="仿宋_GB2312" w:hAnsi="仿宋_GB2312" w:cs="仿宋_GB2312" w:eastAsia="仿宋_GB2312"/>
                      <w:sz w:val="24"/>
                    </w:rPr>
                    <w:t>/ 表单</w:t>
                  </w:r>
                </w:p>
              </w:tc>
              <w:tc>
                <w:tcPr>
                  <w:tcW w:type="dxa" w:w="12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病理摘要字段结构化提取（肿瘤分期、病理分级等），定制病理数据关联表单，适配专病科研需求</w:t>
                  </w:r>
                </w:p>
              </w:tc>
            </w:tr>
            <w:tr>
              <w:tc>
                <w:tcPr>
                  <w:tcW w:type="dxa" w:w="370"/>
                  <w:vMerge/>
                  <w:tcBorders>
                    <w:top w:val="none" w:color="000000" w:sz="4"/>
                    <w:left w:val="single" w:color="000000" w:sz="4"/>
                    <w:bottom w:val="single" w:color="000000" w:sz="4"/>
                    <w:right w:val="single" w:color="000000" w:sz="4"/>
                  </w:tcBorders>
                </w:tcPr>
                <w:p/>
              </w:tc>
              <w:tc>
                <w:tcPr>
                  <w:tcW w:type="dxa" w:w="4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随访系统</w:t>
                  </w:r>
                  <w:r>
                    <w:rPr>
                      <w:rFonts w:ascii="仿宋_GB2312" w:hAnsi="仿宋_GB2312" w:cs="仿宋_GB2312" w:eastAsia="仿宋_GB2312"/>
                      <w:sz w:val="24"/>
                    </w:rPr>
                    <w:t>对接</w:t>
                  </w:r>
                </w:p>
              </w:tc>
              <w:tc>
                <w:tcPr>
                  <w:tcW w:type="dxa" w:w="5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随访系统数据对接</w:t>
                  </w:r>
                </w:p>
              </w:tc>
              <w:tc>
                <w:tcPr>
                  <w:tcW w:type="dxa" w:w="12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对接院内随访系统数据，采集随访数据</w:t>
                  </w:r>
                </w:p>
              </w:tc>
            </w:tr>
            <w:tr>
              <w:tc>
                <w:tcPr>
                  <w:tcW w:type="dxa" w:w="370"/>
                  <w:vMerge/>
                  <w:tcBorders>
                    <w:top w:val="none" w:color="000000" w:sz="4"/>
                    <w:left w:val="single" w:color="000000" w:sz="4"/>
                    <w:bottom w:val="single" w:color="000000" w:sz="4"/>
                    <w:right w:val="single" w:color="000000" w:sz="4"/>
                  </w:tcBorders>
                </w:tcPr>
                <w:p/>
              </w:tc>
              <w:tc>
                <w:tcPr>
                  <w:tcW w:type="dxa" w:w="40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核心系统接口</w:t>
                  </w:r>
                </w:p>
              </w:tc>
              <w:tc>
                <w:tcPr>
                  <w:tcW w:type="dxa" w:w="5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HIS 接口</w:t>
                  </w:r>
                </w:p>
              </w:tc>
              <w:tc>
                <w:tcPr>
                  <w:tcW w:type="dxa" w:w="12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患者主索引（</w:t>
                  </w:r>
                  <w:r>
                    <w:rPr>
                      <w:rFonts w:ascii="仿宋_GB2312" w:hAnsi="仿宋_GB2312" w:cs="仿宋_GB2312" w:eastAsia="仿宋_GB2312"/>
                      <w:sz w:val="24"/>
                    </w:rPr>
                    <w:t>EMPI）、住院 / 门诊基本信息（姓名、性别、年龄、就诊时间等）同步开发与测试，确保数据一致性</w:t>
                  </w:r>
                </w:p>
              </w:tc>
            </w:tr>
            <w:tr>
              <w:tc>
                <w:tcPr>
                  <w:tcW w:type="dxa" w:w="370"/>
                  <w:vMerge/>
                  <w:tcBorders>
                    <w:top w:val="none" w:color="000000" w:sz="4"/>
                    <w:left w:val="single" w:color="000000" w:sz="4"/>
                    <w:bottom w:val="single" w:color="000000" w:sz="4"/>
                    <w:right w:val="single" w:color="000000" w:sz="4"/>
                  </w:tcBorders>
                </w:tcPr>
                <w:p/>
              </w:tc>
              <w:tc>
                <w:tcPr>
                  <w:tcW w:type="dxa" w:w="406"/>
                  <w:vMerge/>
                  <w:tcBorders>
                    <w:top w:val="none" w:color="000000" w:sz="4"/>
                    <w:left w:val="single" w:color="000000" w:sz="4"/>
                    <w:bottom w:val="single" w:color="000000" w:sz="4"/>
                    <w:right w:val="single" w:color="000000" w:sz="4"/>
                  </w:tcBorders>
                </w:tcPr>
                <w:p/>
              </w:tc>
              <w:tc>
                <w:tcPr>
                  <w:tcW w:type="dxa" w:w="5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EMR / 病案摘要接口</w:t>
                  </w:r>
                </w:p>
              </w:tc>
              <w:tc>
                <w:tcPr>
                  <w:tcW w:type="dxa" w:w="12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病程记录、诊断信息（</w:t>
                  </w:r>
                  <w:r>
                    <w:rPr>
                      <w:rFonts w:ascii="仿宋_GB2312" w:hAnsi="仿宋_GB2312" w:cs="仿宋_GB2312" w:eastAsia="仿宋_GB2312"/>
                      <w:sz w:val="24"/>
                    </w:rPr>
                    <w:t>ICD 编码映射）、出入院记录结构化提取与摘要回写，支撑专病数据模型构建</w:t>
                  </w:r>
                </w:p>
              </w:tc>
            </w:tr>
            <w:tr>
              <w:tc>
                <w:tcPr>
                  <w:tcW w:type="dxa" w:w="370"/>
                  <w:vMerge/>
                  <w:tcBorders>
                    <w:top w:val="none" w:color="000000" w:sz="4"/>
                    <w:left w:val="single" w:color="000000" w:sz="4"/>
                    <w:bottom w:val="single" w:color="000000" w:sz="4"/>
                    <w:right w:val="single" w:color="000000" w:sz="4"/>
                  </w:tcBorders>
                </w:tcPr>
                <w:p/>
              </w:tc>
              <w:tc>
                <w:tcPr>
                  <w:tcW w:type="dxa" w:w="406"/>
                  <w:vMerge/>
                  <w:tcBorders>
                    <w:top w:val="none" w:color="000000" w:sz="4"/>
                    <w:left w:val="single" w:color="000000" w:sz="4"/>
                    <w:bottom w:val="single" w:color="000000" w:sz="4"/>
                    <w:right w:val="single" w:color="000000" w:sz="4"/>
                  </w:tcBorders>
                </w:tcPr>
                <w:p/>
              </w:tc>
              <w:tc>
                <w:tcPr>
                  <w:tcW w:type="dxa" w:w="5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LIS</w:t>
                  </w:r>
                  <w:r>
                    <w:rPr>
                      <w:rFonts w:ascii="仿宋_GB2312" w:hAnsi="仿宋_GB2312" w:cs="仿宋_GB2312" w:eastAsia="仿宋_GB2312"/>
                      <w:sz w:val="24"/>
                    </w:rPr>
                    <w:t>接口</w:t>
                  </w:r>
                </w:p>
              </w:tc>
              <w:tc>
                <w:tcPr>
                  <w:tcW w:type="dxa" w:w="12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检验关键指标（血常规、肝肾功能等）数据对接，补充专病科研所需实验室数据</w:t>
                  </w:r>
                </w:p>
              </w:tc>
            </w:tr>
            <w:tr>
              <w:tc>
                <w:tcPr>
                  <w:tcW w:type="dxa" w:w="370"/>
                  <w:vMerge/>
                  <w:tcBorders>
                    <w:top w:val="none" w:color="000000" w:sz="4"/>
                    <w:left w:val="single" w:color="000000" w:sz="4"/>
                    <w:bottom w:val="single" w:color="000000" w:sz="4"/>
                    <w:right w:val="single" w:color="000000" w:sz="4"/>
                  </w:tcBorders>
                </w:tcPr>
                <w:p/>
              </w:tc>
              <w:tc>
                <w:tcPr>
                  <w:tcW w:type="dxa" w:w="406"/>
                  <w:vMerge/>
                  <w:tcBorders>
                    <w:top w:val="none" w:color="000000" w:sz="4"/>
                    <w:left w:val="single" w:color="000000" w:sz="4"/>
                    <w:bottom w:val="single" w:color="000000" w:sz="4"/>
                    <w:right w:val="single" w:color="000000" w:sz="4"/>
                  </w:tcBorders>
                </w:tcPr>
                <w:p/>
              </w:tc>
              <w:tc>
                <w:tcPr>
                  <w:tcW w:type="dxa" w:w="5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接口联调与验收</w:t>
                  </w:r>
                </w:p>
              </w:tc>
              <w:tc>
                <w:tcPr>
                  <w:tcW w:type="dxa" w:w="12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多系统（</w:t>
                  </w:r>
                  <w:r>
                    <w:rPr>
                      <w:rFonts w:ascii="仿宋_GB2312" w:hAnsi="仿宋_GB2312" w:cs="仿宋_GB2312" w:eastAsia="仿宋_GB2312"/>
                      <w:sz w:val="24"/>
                    </w:rPr>
                    <w:t>HIS/EMR/LIS/PACS）联调、问题修复，包含两轮全流程联调测试与验收</w:t>
                  </w:r>
                </w:p>
              </w:tc>
            </w:tr>
            <w:tr>
              <w:tc>
                <w:tcPr>
                  <w:tcW w:type="dxa" w:w="370"/>
                  <w:vMerge/>
                  <w:tcBorders>
                    <w:top w:val="none" w:color="000000" w:sz="4"/>
                    <w:left w:val="single" w:color="000000" w:sz="4"/>
                    <w:bottom w:val="single" w:color="000000" w:sz="4"/>
                    <w:right w:val="single" w:color="000000" w:sz="4"/>
                  </w:tcBorders>
                </w:tcPr>
                <w:p/>
              </w:tc>
              <w:tc>
                <w:tcPr>
                  <w:tcW w:type="dxa" w:w="40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数据治理与历史数据导入</w:t>
                  </w:r>
                </w:p>
              </w:tc>
              <w:tc>
                <w:tcPr>
                  <w:tcW w:type="dxa" w:w="5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映射</w:t>
                  </w:r>
                  <w:r>
                    <w:rPr>
                      <w:rFonts w:ascii="仿宋_GB2312" w:hAnsi="仿宋_GB2312" w:cs="仿宋_GB2312" w:eastAsia="仿宋_GB2312"/>
                      <w:sz w:val="24"/>
                    </w:rPr>
                    <w:t>/ 字段对齐</w:t>
                  </w:r>
                </w:p>
              </w:tc>
              <w:tc>
                <w:tcPr>
                  <w:tcW w:type="dxa" w:w="12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标准数据字典匹配、</w:t>
                  </w:r>
                  <w:r>
                    <w:rPr>
                      <w:rFonts w:ascii="仿宋_GB2312" w:hAnsi="仿宋_GB2312" w:cs="仿宋_GB2312" w:eastAsia="仿宋_GB2312"/>
                      <w:sz w:val="24"/>
                    </w:rPr>
                    <w:t>ICD-10 / 本院编码映射、临床术语标准化规则配置，消除数据异构性</w:t>
                  </w:r>
                </w:p>
              </w:tc>
            </w:tr>
            <w:tr>
              <w:tc>
                <w:tcPr>
                  <w:tcW w:type="dxa" w:w="370"/>
                  <w:vMerge/>
                  <w:tcBorders>
                    <w:top w:val="none" w:color="000000" w:sz="4"/>
                    <w:left w:val="single" w:color="000000" w:sz="4"/>
                    <w:bottom w:val="single" w:color="000000" w:sz="4"/>
                    <w:right w:val="single" w:color="000000" w:sz="4"/>
                  </w:tcBorders>
                </w:tcPr>
                <w:p/>
              </w:tc>
              <w:tc>
                <w:tcPr>
                  <w:tcW w:type="dxa" w:w="406"/>
                  <w:vMerge/>
                  <w:tcBorders>
                    <w:top w:val="none" w:color="000000" w:sz="4"/>
                    <w:left w:val="single" w:color="000000" w:sz="4"/>
                    <w:bottom w:val="single" w:color="000000" w:sz="4"/>
                    <w:right w:val="single" w:color="000000" w:sz="4"/>
                  </w:tcBorders>
                </w:tcPr>
                <w:p/>
              </w:tc>
              <w:tc>
                <w:tcPr>
                  <w:tcW w:type="dxa" w:w="5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清洗与抽样</w:t>
                  </w:r>
                </w:p>
              </w:tc>
              <w:tc>
                <w:tcPr>
                  <w:tcW w:type="dxa" w:w="12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异常数据（缺失值、逻辑矛盾值）清洗、关键字段补齐，抽取近</w:t>
                  </w:r>
                  <w:r>
                    <w:rPr>
                      <w:rFonts w:ascii="仿宋_GB2312" w:hAnsi="仿宋_GB2312" w:cs="仿宋_GB2312" w:eastAsia="仿宋_GB2312"/>
                      <w:sz w:val="24"/>
                    </w:rPr>
                    <w:t>2 年四大专病历史病例样本数据（约 500 例）</w:t>
                  </w:r>
                </w:p>
              </w:tc>
            </w:tr>
            <w:tr>
              <w:tc>
                <w:tcPr>
                  <w:tcW w:type="dxa" w:w="370"/>
                  <w:vMerge/>
                  <w:tcBorders>
                    <w:top w:val="none" w:color="000000" w:sz="4"/>
                    <w:left w:val="single" w:color="000000" w:sz="4"/>
                    <w:bottom w:val="single" w:color="000000" w:sz="4"/>
                    <w:right w:val="single" w:color="000000" w:sz="4"/>
                  </w:tcBorders>
                </w:tcPr>
                <w:p/>
              </w:tc>
              <w:tc>
                <w:tcPr>
                  <w:tcW w:type="dxa" w:w="406"/>
                  <w:vMerge/>
                  <w:tcBorders>
                    <w:top w:val="none" w:color="000000" w:sz="4"/>
                    <w:left w:val="single" w:color="000000" w:sz="4"/>
                    <w:bottom w:val="single" w:color="000000" w:sz="4"/>
                    <w:right w:val="single" w:color="000000" w:sz="4"/>
                  </w:tcBorders>
                </w:tcPr>
                <w:p/>
              </w:tc>
              <w:tc>
                <w:tcPr>
                  <w:tcW w:type="dxa" w:w="5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批量导入</w:t>
                  </w:r>
                </w:p>
              </w:tc>
              <w:tc>
                <w:tcPr>
                  <w:tcW w:type="dxa" w:w="12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批量导入脚本开发、数据验证（完整性</w:t>
                  </w:r>
                  <w:r>
                    <w:rPr>
                      <w:rFonts w:ascii="仿宋_GB2312" w:hAnsi="仿宋_GB2312" w:cs="仿宋_GB2312" w:eastAsia="仿宋_GB2312"/>
                      <w:sz w:val="24"/>
                    </w:rPr>
                    <w:t>/ 准确性校验），按科室、病种维度分批次导入并核对</w:t>
                  </w:r>
                </w:p>
              </w:tc>
            </w:tr>
          </w:tbl>
          <w:p>
            <w:pPr>
              <w:pStyle w:val="null3"/>
              <w:ind w:left="585"/>
              <w:outlineLvl w:val="1"/>
            </w:pPr>
            <w:r>
              <w:rPr>
                <w:rFonts w:ascii="仿宋_GB2312" w:hAnsi="仿宋_GB2312" w:cs="仿宋_GB2312" w:eastAsia="仿宋_GB2312"/>
                <w:sz w:val="24"/>
                <w:b/>
              </w:rPr>
              <w:t>2.3</w:t>
            </w:r>
            <w:r>
              <w:rPr>
                <w:rFonts w:ascii="仿宋_GB2312" w:hAnsi="仿宋_GB2312" w:cs="仿宋_GB2312" w:eastAsia="仿宋_GB2312"/>
                <w:sz w:val="24"/>
                <w:b/>
              </w:rPr>
              <w:t>配套硬件要求</w:t>
            </w:r>
          </w:p>
          <w:tbl>
            <w:tblPr>
              <w:tblBorders>
                <w:top w:val="none" w:color="000000" w:sz="4"/>
                <w:left w:val="none" w:color="000000" w:sz="4"/>
                <w:bottom w:val="none" w:color="000000" w:sz="4"/>
                <w:right w:val="none" w:color="000000" w:sz="4"/>
                <w:insideH w:val="none"/>
                <w:insideV w:val="none"/>
              </w:tblBorders>
            </w:tblPr>
            <w:tblGrid>
              <w:gridCol w:w="476"/>
              <w:gridCol w:w="564"/>
              <w:gridCol w:w="1512"/>
            </w:tblGrid>
            <w:tr>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服务器类型</w:t>
                  </w:r>
                </w:p>
              </w:tc>
              <w:tc>
                <w:tcPr>
                  <w:tcW w:type="dxa" w:w="5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配置</w:t>
                  </w:r>
                </w:p>
              </w:tc>
              <w:tc>
                <w:tcPr>
                  <w:tcW w:type="dxa" w:w="15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参数要求</w:t>
                  </w:r>
                </w:p>
              </w:tc>
            </w:tr>
            <w:tr>
              <w:tc>
                <w:tcPr>
                  <w:tcW w:type="dxa" w:w="4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数据库服务器</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品牌</w:t>
                  </w:r>
                </w:p>
              </w:tc>
              <w:tc>
                <w:tcPr>
                  <w:tcW w:type="dxa" w:w="1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国产知名品牌，非</w:t>
                  </w:r>
                  <w:r>
                    <w:rPr>
                      <w:rFonts w:ascii="仿宋_GB2312" w:hAnsi="仿宋_GB2312" w:cs="仿宋_GB2312" w:eastAsia="仿宋_GB2312"/>
                      <w:sz w:val="24"/>
                    </w:rPr>
                    <w:t>OEM 产品，标准机架式服务器，高度≥2U</w:t>
                  </w:r>
                </w:p>
              </w:tc>
            </w:tr>
            <w:tr>
              <w:tc>
                <w:tcPr>
                  <w:tcW w:type="dxa" w:w="476"/>
                  <w:vMerge/>
                  <w:tcBorders>
                    <w:top w:val="none" w:color="000000" w:sz="4"/>
                    <w:left w:val="single" w:color="000000" w:sz="4"/>
                    <w:bottom w:val="single" w:color="000000" w:sz="4"/>
                    <w:right w:val="single" w:color="000000" w:sz="4"/>
                  </w:tcBorders>
                </w:tcP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整机系统</w:t>
                  </w:r>
                </w:p>
              </w:tc>
              <w:tc>
                <w:tcPr>
                  <w:tcW w:type="dxa" w:w="1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2U机架式服务器</w:t>
                  </w:r>
                </w:p>
              </w:tc>
            </w:tr>
            <w:tr>
              <w:tc>
                <w:tcPr>
                  <w:tcW w:type="dxa" w:w="476"/>
                  <w:vMerge/>
                  <w:tcBorders>
                    <w:top w:val="none" w:color="000000" w:sz="4"/>
                    <w:left w:val="single" w:color="000000" w:sz="4"/>
                    <w:bottom w:val="single" w:color="000000" w:sz="4"/>
                    <w:right w:val="single" w:color="000000" w:sz="4"/>
                  </w:tcBorders>
                </w:tcP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处理器（</w:t>
                  </w:r>
                  <w:r>
                    <w:rPr>
                      <w:rFonts w:ascii="仿宋_GB2312" w:hAnsi="仿宋_GB2312" w:cs="仿宋_GB2312" w:eastAsia="仿宋_GB2312"/>
                      <w:sz w:val="24"/>
                    </w:rPr>
                    <w:t>CPU）</w:t>
                  </w:r>
                </w:p>
              </w:tc>
              <w:tc>
                <w:tcPr>
                  <w:tcW w:type="dxa" w:w="1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 * 8核处理器（主频≥2.8GHz）</w:t>
                  </w:r>
                </w:p>
              </w:tc>
            </w:tr>
            <w:tr>
              <w:tc>
                <w:tcPr>
                  <w:tcW w:type="dxa" w:w="476"/>
                  <w:vMerge/>
                  <w:tcBorders>
                    <w:top w:val="none" w:color="000000" w:sz="4"/>
                    <w:left w:val="single" w:color="000000" w:sz="4"/>
                    <w:bottom w:val="single" w:color="000000" w:sz="4"/>
                    <w:right w:val="single" w:color="000000" w:sz="4"/>
                  </w:tcBorders>
                </w:tcP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内存（</w:t>
                  </w:r>
                  <w:r>
                    <w:rPr>
                      <w:rFonts w:ascii="仿宋_GB2312" w:hAnsi="仿宋_GB2312" w:cs="仿宋_GB2312" w:eastAsia="仿宋_GB2312"/>
                      <w:sz w:val="24"/>
                    </w:rPr>
                    <w:t>RAM）</w:t>
                  </w:r>
                </w:p>
              </w:tc>
              <w:tc>
                <w:tcPr>
                  <w:tcW w:type="dxa" w:w="1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≥8条32GB DDR4-3200 RDIMM内存</w:t>
                  </w:r>
                </w:p>
              </w:tc>
            </w:tr>
            <w:tr>
              <w:tc>
                <w:tcPr>
                  <w:tcW w:type="dxa" w:w="476"/>
                  <w:vMerge/>
                  <w:tcBorders>
                    <w:top w:val="none" w:color="000000" w:sz="4"/>
                    <w:left w:val="single" w:color="000000" w:sz="4"/>
                    <w:bottom w:val="single" w:color="000000" w:sz="4"/>
                    <w:right w:val="single" w:color="000000" w:sz="4"/>
                  </w:tcBorders>
                </w:tcP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存储配置</w:t>
                  </w:r>
                </w:p>
              </w:tc>
              <w:tc>
                <w:tcPr>
                  <w:tcW w:type="dxa" w:w="1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2.5英寸硬盘背板（支持</w:t>
                  </w:r>
                  <w:r>
                    <w:rPr>
                      <w:rFonts w:ascii="仿宋_GB2312" w:hAnsi="仿宋_GB2312" w:cs="仿宋_GB2312" w:eastAsia="仿宋_GB2312"/>
                      <w:sz w:val="24"/>
                    </w:rPr>
                    <w:t>8SFF</w:t>
                  </w:r>
                  <w:r>
                    <w:rPr>
                      <w:rFonts w:ascii="仿宋_GB2312" w:hAnsi="仿宋_GB2312" w:cs="仿宋_GB2312" w:eastAsia="仿宋_GB2312"/>
                      <w:sz w:val="24"/>
                    </w:rPr>
                    <w:t>盘位）</w:t>
                  </w:r>
                  <w:r>
                    <w:br/>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块</w:t>
                  </w:r>
                  <w:r>
                    <w:rPr>
                      <w:rFonts w:ascii="仿宋_GB2312" w:hAnsi="仿宋_GB2312" w:cs="仿宋_GB2312" w:eastAsia="仿宋_GB2312"/>
                      <w:sz w:val="24"/>
                    </w:rPr>
                    <w:t>6Gbps SATA 2.5英寸 SSD（可用容量≥960GB）</w:t>
                  </w:r>
                  <w:r>
                    <w:br/>
                  </w:r>
                  <w:r>
                    <w:rPr>
                      <w:rFonts w:ascii="仿宋_GB2312" w:hAnsi="仿宋_GB2312" w:cs="仿宋_GB2312" w:eastAsia="仿宋_GB2312"/>
                      <w:sz w:val="24"/>
                    </w:rPr>
                    <w:t>≥4块SATA 2.5英寸 512e SSD（可用容量≥3.84TB）</w:t>
                  </w:r>
                </w:p>
              </w:tc>
            </w:tr>
            <w:tr>
              <w:tc>
                <w:tcPr>
                  <w:tcW w:type="dxa" w:w="476"/>
                  <w:vMerge/>
                  <w:tcBorders>
                    <w:top w:val="none" w:color="000000" w:sz="4"/>
                    <w:left w:val="single" w:color="000000" w:sz="4"/>
                    <w:bottom w:val="single" w:color="000000" w:sz="4"/>
                    <w:right w:val="single" w:color="000000" w:sz="4"/>
                  </w:tcBorders>
                </w:tcP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RAID配置</w:t>
                  </w:r>
                </w:p>
              </w:tc>
              <w:tc>
                <w:tcPr>
                  <w:tcW w:type="dxa" w:w="1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≥12Gbps SAS RAID控制器（支持8个SAS端口，2GB缓存）</w:t>
                  </w:r>
                </w:p>
              </w:tc>
            </w:tr>
            <w:tr>
              <w:tc>
                <w:tcPr>
                  <w:tcW w:type="dxa" w:w="476"/>
                  <w:vMerge/>
                  <w:tcBorders>
                    <w:top w:val="none" w:color="000000" w:sz="4"/>
                    <w:left w:val="single" w:color="000000" w:sz="4"/>
                    <w:bottom w:val="single" w:color="000000" w:sz="4"/>
                    <w:right w:val="single" w:color="000000" w:sz="4"/>
                  </w:tcBorders>
                </w:tcP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网络接口</w:t>
                  </w:r>
                </w:p>
              </w:tc>
              <w:tc>
                <w:tcPr>
                  <w:tcW w:type="dxa" w:w="1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≥2端口10GbE SFP+光纤网卡</w:t>
                  </w:r>
                  <w:r>
                    <w:br/>
                  </w:r>
                  <w:r>
                    <w:rPr>
                      <w:rFonts w:ascii="仿宋_GB2312" w:hAnsi="仿宋_GB2312" w:cs="仿宋_GB2312" w:eastAsia="仿宋_GB2312"/>
                      <w:sz w:val="24"/>
                    </w:rPr>
                    <w:t>≥4端口1GbE电口OCP 3.0网卡</w:t>
                  </w:r>
                  <w:r>
                    <w:br/>
                  </w:r>
                  <w:r>
                    <w:rPr>
                      <w:rFonts w:ascii="仿宋_GB2312" w:hAnsi="仿宋_GB2312" w:cs="仿宋_GB2312" w:eastAsia="仿宋_GB2312"/>
                      <w:sz w:val="24"/>
                    </w:rPr>
                    <w:t>≥2个SFP+光模块（850nm波长，LC接口，传输距离300米）</w:t>
                  </w:r>
                </w:p>
              </w:tc>
            </w:tr>
            <w:tr>
              <w:tc>
                <w:tcPr>
                  <w:tcW w:type="dxa" w:w="476"/>
                  <w:vMerge/>
                  <w:tcBorders>
                    <w:top w:val="none" w:color="000000" w:sz="4"/>
                    <w:left w:val="single" w:color="000000" w:sz="4"/>
                    <w:bottom w:val="single" w:color="000000" w:sz="4"/>
                    <w:right w:val="single" w:color="000000" w:sz="4"/>
                  </w:tcBorders>
                </w:tcP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电源</w:t>
                  </w:r>
                </w:p>
              </w:tc>
              <w:tc>
                <w:tcPr>
                  <w:tcW w:type="dxa" w:w="1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双冗余电源（</w:t>
                  </w:r>
                  <w:r>
                    <w:rPr>
                      <w:rFonts w:ascii="仿宋_GB2312" w:hAnsi="仿宋_GB2312" w:cs="仿宋_GB2312" w:eastAsia="仿宋_GB2312"/>
                      <w:sz w:val="24"/>
                    </w:rPr>
                    <w:t>800W 80PLUS白金认证，支持240V高压直流/交流输入）</w:t>
                  </w:r>
                </w:p>
              </w:tc>
            </w:tr>
            <w:tr>
              <w:tc>
                <w:tcPr>
                  <w:tcW w:type="dxa" w:w="476"/>
                  <w:vMerge/>
                  <w:tcBorders>
                    <w:top w:val="none" w:color="000000" w:sz="4"/>
                    <w:left w:val="single" w:color="000000" w:sz="4"/>
                    <w:bottom w:val="single" w:color="000000" w:sz="4"/>
                    <w:right w:val="single" w:color="000000" w:sz="4"/>
                  </w:tcBorders>
                </w:tcP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机箱</w:t>
                  </w:r>
                </w:p>
              </w:tc>
              <w:tc>
                <w:tcPr>
                  <w:tcW w:type="dxa" w:w="1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标准</w:t>
                  </w:r>
                  <w:r>
                    <w:rPr>
                      <w:rFonts w:ascii="仿宋_GB2312" w:hAnsi="仿宋_GB2312" w:cs="仿宋_GB2312" w:eastAsia="仿宋_GB2312"/>
                      <w:sz w:val="24"/>
                    </w:rPr>
                    <w:t>2U/1U滑轨套件</w:t>
                  </w:r>
                </w:p>
              </w:tc>
            </w:tr>
            <w:tr>
              <w:tc>
                <w:tcPr>
                  <w:tcW w:type="dxa" w:w="476"/>
                  <w:vMerge/>
                  <w:tcBorders>
                    <w:top w:val="none" w:color="000000" w:sz="4"/>
                    <w:left w:val="single" w:color="000000" w:sz="4"/>
                    <w:bottom w:val="single" w:color="000000" w:sz="4"/>
                    <w:right w:val="single" w:color="000000" w:sz="4"/>
                  </w:tcBorders>
                </w:tcP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其他</w:t>
                  </w:r>
                </w:p>
              </w:tc>
              <w:tc>
                <w:tcPr>
                  <w:tcW w:type="dxa" w:w="1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超级电容冗余模块</w:t>
                  </w:r>
                  <w:r>
                    <w:br/>
                  </w:r>
                  <w:r>
                    <w:rPr>
                      <w:rFonts w:ascii="仿宋_GB2312" w:hAnsi="仿宋_GB2312" w:cs="仿宋_GB2312" w:eastAsia="仿宋_GB2312"/>
                      <w:sz w:val="24"/>
                    </w:rPr>
                    <w:t>PCIe</w:t>
                  </w:r>
                  <w:r>
                    <w:rPr>
                      <w:rFonts w:ascii="仿宋_GB2312" w:hAnsi="仿宋_GB2312" w:cs="仿宋_GB2312" w:eastAsia="仿宋_GB2312"/>
                      <w:sz w:val="24"/>
                    </w:rPr>
                    <w:t>扩展卡插槽（支持</w:t>
                  </w:r>
                  <w:r>
                    <w:rPr>
                      <w:rFonts w:ascii="仿宋_GB2312" w:hAnsi="仿宋_GB2312" w:cs="仿宋_GB2312" w:eastAsia="仿宋_GB2312"/>
                      <w:sz w:val="24"/>
                    </w:rPr>
                    <w:t>X16/X8/X8</w:t>
                  </w:r>
                  <w:r>
                    <w:rPr>
                      <w:rFonts w:ascii="仿宋_GB2312" w:hAnsi="仿宋_GB2312" w:cs="仿宋_GB2312" w:eastAsia="仿宋_GB2312"/>
                      <w:sz w:val="24"/>
                    </w:rPr>
                    <w:t>拆分）</w:t>
                  </w:r>
                </w:p>
              </w:tc>
            </w:tr>
            <w:tr>
              <w:tc>
                <w:tcPr>
                  <w:tcW w:type="dxa" w:w="476"/>
                  <w:vMerge/>
                  <w:tcBorders>
                    <w:top w:val="none" w:color="000000" w:sz="4"/>
                    <w:left w:val="single" w:color="000000" w:sz="4"/>
                    <w:bottom w:val="single" w:color="000000" w:sz="4"/>
                    <w:right w:val="single" w:color="000000" w:sz="4"/>
                  </w:tcBorders>
                </w:tcP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中文界面</w:t>
                  </w:r>
                </w:p>
              </w:tc>
              <w:tc>
                <w:tcPr>
                  <w:tcW w:type="dxa" w:w="1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支持</w:t>
                  </w:r>
                  <w:r>
                    <w:rPr>
                      <w:rFonts w:ascii="仿宋_GB2312" w:hAnsi="仿宋_GB2312" w:cs="仿宋_GB2312" w:eastAsia="仿宋_GB2312"/>
                      <w:sz w:val="24"/>
                    </w:rPr>
                    <w:t>BIOS 中文界面，方便后期对服务器 BIOS 参数信息进行更改与设置，提供 BIOS 中文界面截图</w:t>
                  </w:r>
                </w:p>
              </w:tc>
            </w:tr>
            <w:tr>
              <w:tc>
                <w:tcPr>
                  <w:tcW w:type="dxa" w:w="476"/>
                  <w:vMerge/>
                  <w:tcBorders>
                    <w:top w:val="none" w:color="000000" w:sz="4"/>
                    <w:left w:val="single" w:color="000000" w:sz="4"/>
                    <w:bottom w:val="single" w:color="000000" w:sz="4"/>
                    <w:right w:val="single" w:color="000000" w:sz="4"/>
                  </w:tcBorders>
                </w:tcP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服务和质保</w:t>
                  </w:r>
                </w:p>
              </w:tc>
              <w:tc>
                <w:tcPr>
                  <w:tcW w:type="dxa" w:w="1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整机和所有部件均为</w:t>
                  </w:r>
                  <w:r>
                    <w:rPr>
                      <w:rFonts w:ascii="仿宋_GB2312" w:hAnsi="仿宋_GB2312" w:cs="仿宋_GB2312" w:eastAsia="仿宋_GB2312"/>
                      <w:sz w:val="24"/>
                    </w:rPr>
                    <w:t>原厂正品，三年</w:t>
                  </w:r>
                  <w:r>
                    <w:rPr>
                      <w:rFonts w:ascii="仿宋_GB2312" w:hAnsi="仿宋_GB2312" w:cs="仿宋_GB2312" w:eastAsia="仿宋_GB2312"/>
                      <w:sz w:val="24"/>
                    </w:rPr>
                    <w:t>7*24 质保服务</w:t>
                  </w:r>
                </w:p>
              </w:tc>
            </w:tr>
            <w:tr>
              <w:tc>
                <w:tcPr>
                  <w:tcW w:type="dxa" w:w="4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2、分析服务器</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品牌</w:t>
                  </w:r>
                </w:p>
              </w:tc>
              <w:tc>
                <w:tcPr>
                  <w:tcW w:type="dxa" w:w="1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国产知名品牌，非</w:t>
                  </w:r>
                  <w:r>
                    <w:rPr>
                      <w:rFonts w:ascii="仿宋_GB2312" w:hAnsi="仿宋_GB2312" w:cs="仿宋_GB2312" w:eastAsia="仿宋_GB2312"/>
                      <w:sz w:val="24"/>
                    </w:rPr>
                    <w:t>OEM 产品，标准机架式服务器，高度≥2U</w:t>
                  </w:r>
                </w:p>
              </w:tc>
            </w:tr>
            <w:tr>
              <w:tc>
                <w:tcPr>
                  <w:tcW w:type="dxa" w:w="476"/>
                  <w:vMerge/>
                  <w:tcBorders>
                    <w:top w:val="none" w:color="000000" w:sz="4"/>
                    <w:left w:val="single" w:color="000000" w:sz="4"/>
                    <w:bottom w:val="single" w:color="000000" w:sz="4"/>
                    <w:right w:val="single" w:color="000000" w:sz="4"/>
                  </w:tcBorders>
                </w:tcP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整机系统</w:t>
                  </w:r>
                </w:p>
              </w:tc>
              <w:tc>
                <w:tcPr>
                  <w:tcW w:type="dxa" w:w="1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2U机架式服务器（支持双路处理器，兼容PCIe/SATA/NVMe扩展）</w:t>
                  </w:r>
                </w:p>
              </w:tc>
            </w:tr>
            <w:tr>
              <w:tc>
                <w:tcPr>
                  <w:tcW w:type="dxa" w:w="476"/>
                  <w:vMerge/>
                  <w:tcBorders>
                    <w:top w:val="none" w:color="000000" w:sz="4"/>
                    <w:left w:val="single" w:color="000000" w:sz="4"/>
                    <w:bottom w:val="single" w:color="000000" w:sz="4"/>
                    <w:right w:val="single" w:color="000000" w:sz="4"/>
                  </w:tcBorders>
                </w:tcP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处理器（</w:t>
                  </w:r>
                  <w:r>
                    <w:rPr>
                      <w:rFonts w:ascii="仿宋_GB2312" w:hAnsi="仿宋_GB2312" w:cs="仿宋_GB2312" w:eastAsia="仿宋_GB2312"/>
                      <w:sz w:val="24"/>
                    </w:rPr>
                    <w:t>CPU）</w:t>
                  </w:r>
                </w:p>
              </w:tc>
              <w:tc>
                <w:tcPr>
                  <w:tcW w:type="dxa" w:w="1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 * 24核处理器（主频≥2.1GHz/36MB三级缓存/165W TDP）</w:t>
                  </w:r>
                </w:p>
              </w:tc>
            </w:tr>
            <w:tr>
              <w:tc>
                <w:tcPr>
                  <w:tcW w:type="dxa" w:w="476"/>
                  <w:vMerge/>
                  <w:tcBorders>
                    <w:top w:val="none" w:color="000000" w:sz="4"/>
                    <w:left w:val="single" w:color="000000" w:sz="4"/>
                    <w:bottom w:val="single" w:color="000000" w:sz="4"/>
                    <w:right w:val="single" w:color="000000" w:sz="4"/>
                  </w:tcBorders>
                </w:tcP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内存（</w:t>
                  </w:r>
                  <w:r>
                    <w:rPr>
                      <w:rFonts w:ascii="仿宋_GB2312" w:hAnsi="仿宋_GB2312" w:cs="仿宋_GB2312" w:eastAsia="仿宋_GB2312"/>
                      <w:sz w:val="24"/>
                    </w:rPr>
                    <w:t>RAM）</w:t>
                  </w:r>
                </w:p>
              </w:tc>
              <w:tc>
                <w:tcPr>
                  <w:tcW w:type="dxa" w:w="1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≥8条32GB DDR4-3200 RDIMM内存（2Rx4列，时序CL22）</w:t>
                  </w:r>
                </w:p>
              </w:tc>
            </w:tr>
            <w:tr>
              <w:tc>
                <w:tcPr>
                  <w:tcW w:type="dxa" w:w="476"/>
                  <w:vMerge/>
                  <w:tcBorders>
                    <w:top w:val="none" w:color="000000" w:sz="4"/>
                    <w:left w:val="single" w:color="000000" w:sz="4"/>
                    <w:bottom w:val="single" w:color="000000" w:sz="4"/>
                    <w:right w:val="single" w:color="000000" w:sz="4"/>
                  </w:tcBorders>
                </w:tcP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存储配置</w:t>
                  </w:r>
                </w:p>
              </w:tc>
              <w:tc>
                <w:tcPr>
                  <w:tcW w:type="dxa" w:w="1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2.5英寸SATA SSD，可用容量≥3.84TB（6Gbps接口）</w:t>
                  </w:r>
                  <w:r>
                    <w:br/>
                  </w:r>
                  <w:r>
                    <w:rPr>
                      <w:rFonts w:ascii="仿宋_GB2312" w:hAnsi="仿宋_GB2312" w:cs="仿宋_GB2312" w:eastAsia="仿宋_GB2312"/>
                      <w:sz w:val="24"/>
                    </w:rPr>
                    <w:t>2.5英寸前置硬盘背板（支持8SFF盘位）</w:t>
                  </w:r>
                </w:p>
              </w:tc>
            </w:tr>
            <w:tr>
              <w:tc>
                <w:tcPr>
                  <w:tcW w:type="dxa" w:w="476"/>
                  <w:vMerge/>
                  <w:tcBorders>
                    <w:top w:val="none" w:color="000000" w:sz="4"/>
                    <w:left w:val="single" w:color="000000" w:sz="4"/>
                    <w:bottom w:val="single" w:color="000000" w:sz="4"/>
                    <w:right w:val="single" w:color="000000" w:sz="4"/>
                  </w:tcBorders>
                </w:tcP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扩展卡与显卡</w:t>
                  </w:r>
                </w:p>
              </w:tc>
              <w:tc>
                <w:tcPr>
                  <w:tcW w:type="dxa" w:w="1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PCIe扩展卡（支持X16/X8/X8拆分，兼容300W GPU）</w:t>
                  </w:r>
                  <w:r>
                    <w:br/>
                  </w:r>
                  <w:r>
                    <w:rPr>
                      <w:rFonts w:ascii="仿宋_GB2312" w:hAnsi="仿宋_GB2312" w:cs="仿宋_GB2312" w:eastAsia="仿宋_GB2312"/>
                      <w:sz w:val="24"/>
                    </w:rPr>
                    <w:t>NVIDIA RTX 4090或NVIDIA Tesla L4或NVIDIA Tesla T4</w:t>
                  </w:r>
                </w:p>
              </w:tc>
            </w:tr>
            <w:tr>
              <w:tc>
                <w:tcPr>
                  <w:tcW w:type="dxa" w:w="476"/>
                  <w:vMerge/>
                  <w:tcBorders>
                    <w:top w:val="none" w:color="000000" w:sz="4"/>
                    <w:left w:val="single" w:color="000000" w:sz="4"/>
                    <w:bottom w:val="single" w:color="000000" w:sz="4"/>
                    <w:right w:val="single" w:color="000000" w:sz="4"/>
                  </w:tcBorders>
                </w:tcP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RAID配置</w:t>
                  </w:r>
                </w:p>
              </w:tc>
              <w:tc>
                <w:tcPr>
                  <w:tcW w:type="dxa" w:w="1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≥12Gbps SAS RAID控制器（8个SAS端口，2GB缓存）</w:t>
                  </w:r>
                </w:p>
              </w:tc>
            </w:tr>
            <w:tr>
              <w:tc>
                <w:tcPr>
                  <w:tcW w:type="dxa" w:w="476"/>
                  <w:vMerge/>
                  <w:tcBorders>
                    <w:top w:val="none" w:color="000000" w:sz="4"/>
                    <w:left w:val="single" w:color="000000" w:sz="4"/>
                    <w:bottom w:val="single" w:color="000000" w:sz="4"/>
                    <w:right w:val="single" w:color="000000" w:sz="4"/>
                  </w:tcBorders>
                </w:tcP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网络接口</w:t>
                  </w:r>
                </w:p>
              </w:tc>
              <w:tc>
                <w:tcPr>
                  <w:tcW w:type="dxa" w:w="1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≥2端口10Gbps光口网卡（支持SR-IOV/VXLAN）</w:t>
                  </w:r>
                  <w:r>
                    <w:br/>
                  </w:r>
                  <w:r>
                    <w:rPr>
                      <w:rFonts w:ascii="仿宋_GB2312" w:hAnsi="仿宋_GB2312" w:cs="仿宋_GB2312" w:eastAsia="仿宋_GB2312"/>
                      <w:sz w:val="24"/>
                    </w:rPr>
                    <w:t>≥4端口1Gbps电口网卡（OCP3.0标准）</w:t>
                  </w:r>
                  <w:r>
                    <w:br/>
                  </w:r>
                  <w:r>
                    <w:rPr>
                      <w:rFonts w:ascii="仿宋_GB2312" w:hAnsi="仿宋_GB2312" w:cs="仿宋_GB2312" w:eastAsia="仿宋_GB2312"/>
                      <w:sz w:val="24"/>
                    </w:rPr>
                    <w:t>≥2个10Gbps SFP+万兆光模块（850nm波长）</w:t>
                  </w:r>
                </w:p>
              </w:tc>
            </w:tr>
            <w:tr>
              <w:tc>
                <w:tcPr>
                  <w:tcW w:type="dxa" w:w="476"/>
                  <w:vMerge/>
                  <w:tcBorders>
                    <w:top w:val="none" w:color="000000" w:sz="4"/>
                    <w:left w:val="single" w:color="000000" w:sz="4"/>
                    <w:bottom w:val="single" w:color="000000" w:sz="4"/>
                    <w:right w:val="single" w:color="000000" w:sz="4"/>
                  </w:tcBorders>
                </w:tcP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电源</w:t>
                  </w:r>
                </w:p>
              </w:tc>
              <w:tc>
                <w:tcPr>
                  <w:tcW w:type="dxa" w:w="1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双冗余电源（</w:t>
                  </w:r>
                  <w:r>
                    <w:rPr>
                      <w:rFonts w:ascii="仿宋_GB2312" w:hAnsi="仿宋_GB2312" w:cs="仿宋_GB2312" w:eastAsia="仿宋_GB2312"/>
                      <w:sz w:val="24"/>
                    </w:rPr>
                    <w:t>800W 80PLUS白金认证，支持240V高压直流/交流输入）</w:t>
                  </w:r>
                </w:p>
              </w:tc>
            </w:tr>
            <w:tr>
              <w:tc>
                <w:tcPr>
                  <w:tcW w:type="dxa" w:w="476"/>
                  <w:vMerge/>
                  <w:tcBorders>
                    <w:top w:val="none" w:color="000000" w:sz="4"/>
                    <w:left w:val="single" w:color="000000" w:sz="4"/>
                    <w:bottom w:val="single" w:color="000000" w:sz="4"/>
                    <w:right w:val="single" w:color="000000" w:sz="4"/>
                  </w:tcBorders>
                </w:tcP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机箱</w:t>
                  </w:r>
                </w:p>
              </w:tc>
              <w:tc>
                <w:tcPr>
                  <w:tcW w:type="dxa" w:w="1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标准</w:t>
                  </w:r>
                  <w:r>
                    <w:rPr>
                      <w:rFonts w:ascii="仿宋_GB2312" w:hAnsi="仿宋_GB2312" w:cs="仿宋_GB2312" w:eastAsia="仿宋_GB2312"/>
                      <w:sz w:val="24"/>
                    </w:rPr>
                    <w:t>2U机箱（87.5mm×445.5mm×775.5mm）</w:t>
                  </w:r>
                  <w:r>
                    <w:br/>
                  </w:r>
                  <w:r>
                    <w:rPr>
                      <w:rFonts w:ascii="仿宋_GB2312" w:hAnsi="仿宋_GB2312" w:cs="仿宋_GB2312" w:eastAsia="仿宋_GB2312"/>
                      <w:sz w:val="24"/>
                    </w:rPr>
                    <w:t>兼容</w:t>
                  </w:r>
                  <w:r>
                    <w:rPr>
                      <w:rFonts w:ascii="仿宋_GB2312" w:hAnsi="仿宋_GB2312" w:cs="仿宋_GB2312" w:eastAsia="仿宋_GB2312"/>
                      <w:sz w:val="24"/>
                    </w:rPr>
                    <w:t>1U/2U滑轨安装</w:t>
                  </w:r>
                </w:p>
              </w:tc>
            </w:tr>
            <w:tr>
              <w:tc>
                <w:tcPr>
                  <w:tcW w:type="dxa" w:w="476"/>
                  <w:vMerge/>
                  <w:tcBorders>
                    <w:top w:val="none" w:color="000000" w:sz="4"/>
                    <w:left w:val="single" w:color="000000" w:sz="4"/>
                    <w:bottom w:val="single" w:color="000000" w:sz="4"/>
                    <w:right w:val="single" w:color="000000" w:sz="4"/>
                  </w:tcBorders>
                </w:tcP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其他</w:t>
                  </w:r>
                </w:p>
              </w:tc>
              <w:tc>
                <w:tcPr>
                  <w:tcW w:type="dxa" w:w="1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冗余超级电容模块（支持</w:t>
                  </w:r>
                  <w:r>
                    <w:rPr>
                      <w:rFonts w:ascii="仿宋_GB2312" w:hAnsi="仿宋_GB2312" w:cs="仿宋_GB2312" w:eastAsia="仿宋_GB2312"/>
                      <w:sz w:val="24"/>
                    </w:rPr>
                    <w:t>RAID控制器掉电保护）</w:t>
                  </w:r>
                  <w:r>
                    <w:br/>
                  </w:r>
                  <w:r>
                    <w:rPr>
                      <w:rFonts w:ascii="仿宋_GB2312" w:hAnsi="仿宋_GB2312" w:cs="仿宋_GB2312" w:eastAsia="仿宋_GB2312"/>
                      <w:sz w:val="24"/>
                    </w:rPr>
                    <w:t>标准管理接口（含专用管理网口）</w:t>
                  </w:r>
                </w:p>
              </w:tc>
            </w:tr>
            <w:tr>
              <w:tc>
                <w:tcPr>
                  <w:tcW w:type="dxa" w:w="476"/>
                  <w:vMerge/>
                  <w:tcBorders>
                    <w:top w:val="none" w:color="000000" w:sz="4"/>
                    <w:left w:val="single" w:color="000000" w:sz="4"/>
                    <w:bottom w:val="single" w:color="000000" w:sz="4"/>
                    <w:right w:val="single" w:color="000000" w:sz="4"/>
                  </w:tcBorders>
                </w:tcP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中文界面</w:t>
                  </w:r>
                </w:p>
              </w:tc>
              <w:tc>
                <w:tcPr>
                  <w:tcW w:type="dxa" w:w="1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支持</w:t>
                  </w:r>
                  <w:r>
                    <w:rPr>
                      <w:rFonts w:ascii="仿宋_GB2312" w:hAnsi="仿宋_GB2312" w:cs="仿宋_GB2312" w:eastAsia="仿宋_GB2312"/>
                      <w:sz w:val="24"/>
                    </w:rPr>
                    <w:t>BIOS 中文界面，方便后期对服务器 BIOS 参数信息进行更改与设置，提供 BIOS 中文界面截图</w:t>
                  </w:r>
                </w:p>
              </w:tc>
            </w:tr>
            <w:tr>
              <w:tc>
                <w:tcPr>
                  <w:tcW w:type="dxa" w:w="476"/>
                  <w:vMerge/>
                  <w:tcBorders>
                    <w:top w:val="none" w:color="000000" w:sz="4"/>
                    <w:left w:val="single" w:color="000000" w:sz="4"/>
                    <w:bottom w:val="single" w:color="000000" w:sz="4"/>
                    <w:right w:val="single" w:color="000000" w:sz="4"/>
                  </w:tcBorders>
                </w:tcP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服务和质保</w:t>
                  </w:r>
                </w:p>
              </w:tc>
              <w:tc>
                <w:tcPr>
                  <w:tcW w:type="dxa" w:w="1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整机和所有</w:t>
                  </w:r>
                  <w:r>
                    <w:rPr>
                      <w:rFonts w:ascii="仿宋_GB2312" w:hAnsi="仿宋_GB2312" w:cs="仿宋_GB2312" w:eastAsia="仿宋_GB2312"/>
                      <w:sz w:val="24"/>
                    </w:rPr>
                    <w:t>部件均为原厂正品，三年</w:t>
                  </w:r>
                  <w:r>
                    <w:rPr>
                      <w:rFonts w:ascii="仿宋_GB2312" w:hAnsi="仿宋_GB2312" w:cs="仿宋_GB2312" w:eastAsia="仿宋_GB2312"/>
                      <w:sz w:val="24"/>
                    </w:rPr>
                    <w:t>7*24 质保服务</w:t>
                  </w:r>
                </w:p>
              </w:tc>
            </w:tr>
            <w:tr>
              <w:tc>
                <w:tcPr>
                  <w:tcW w:type="dxa" w:w="476"/>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3、光纤交换机</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配置</w:t>
                  </w:r>
                </w:p>
              </w:tc>
              <w:tc>
                <w:tcPr>
                  <w:tcW w:type="dxa" w:w="1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万兆交换机，</w:t>
                  </w:r>
                  <w:r>
                    <w:rPr>
                      <w:rFonts w:ascii="仿宋_GB2312" w:hAnsi="仿宋_GB2312" w:cs="仿宋_GB2312" w:eastAsia="仿宋_GB2312"/>
                      <w:sz w:val="24"/>
                    </w:rPr>
                    <w:t>≥12 个 10G SFP+端口，支持全三层网络功能。(50um纤芯)多模光纤*8,850nm，支持 300 米的传输距离。</w:t>
                  </w:r>
                </w:p>
                <w:p>
                  <w:pPr>
                    <w:pStyle w:val="null3"/>
                  </w:pPr>
                  <w:r>
                    <w:rPr>
                      <w:rFonts w:ascii="仿宋_GB2312" w:hAnsi="仿宋_GB2312" w:cs="仿宋_GB2312" w:eastAsia="仿宋_GB2312"/>
                      <w:sz w:val="24"/>
                    </w:rPr>
                    <w:t>接口要求：</w:t>
                  </w:r>
                  <w:r>
                    <w:rPr>
                      <w:rFonts w:ascii="仿宋_GB2312" w:hAnsi="仿宋_GB2312" w:cs="仿宋_GB2312" w:eastAsia="仿宋_GB2312"/>
                      <w:sz w:val="24"/>
                    </w:rPr>
                    <w:t>10GBase-SR SFP+ 万兆以太网多模光纤模块*8;</w:t>
                  </w:r>
                </w:p>
              </w:tc>
            </w:tr>
            <w:tr>
              <w:tc>
                <w:tcPr>
                  <w:tcW w:type="dxa" w:w="476"/>
                  <w:vMerge/>
                  <w:tcBorders>
                    <w:top w:val="none" w:color="000000" w:sz="4"/>
                    <w:left w:val="single" w:color="000000" w:sz="4"/>
                    <w:bottom w:val="none" w:color="000000" w:sz="4"/>
                    <w:right w:val="single" w:color="000000" w:sz="4"/>
                  </w:tcBorders>
                </w:tcP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服务和质保</w:t>
                  </w:r>
                </w:p>
              </w:tc>
              <w:tc>
                <w:tcPr>
                  <w:tcW w:type="dxa" w:w="1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整机为原厂正品，一年</w:t>
                  </w:r>
                  <w:r>
                    <w:rPr>
                      <w:rFonts w:ascii="仿宋_GB2312" w:hAnsi="仿宋_GB2312" w:cs="仿宋_GB2312" w:eastAsia="仿宋_GB2312"/>
                      <w:sz w:val="24"/>
                    </w:rPr>
                    <w:t>7*24 质保服务</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实施人员要求： 成交单位应仔细研读磋商文件，根据项目内容及理解，提供项目详尽的实施方案和进度表。实施方案内容大致包括：1.组织保障安排：成立领导小组，领导小组中的责任分工等。2.制定具体的实施流程、实施内容。3.成交单位应在系统实施方案中描述具体的实施团队的组成、工作内容、投入人员、项目进程表及采购人的配合等内容。实施期间，成交单位应按磋商文件要求派遣具有同类三甲医院项目成功实施经验的工程师驻扎医院进行项目的开发实施工作。成交单位的实施团队应具有丰富的项目的经验，能协助医院提供全方位的工作，包括但不限于项目咨询、软件研发、系统实施等。 成交单位须派驻至少2名专职工程师进行本次项目软硬件的需求细化调研、设计开发、功能测试、应用培训、部署上线、系统配置、数据准备、服务器安装调试等实施工作，在响应文件中提供承诺并加盖单位公章。</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满足竞争性磋商文件服务内容要求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质量要求：满足采购人要求，符合国家及相关行业合格标准。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自招标结束后中标公司应予15个自然日内完成项目测试环境搭建，根据招标技术要求逐条测试，经采购方确认无误后签订项目合同，若采购方测试过程中确认测试情况与投标响应情况不付，此次招标将予以废标。 自合同签订起4个月内完成系统功能需求细化调研、设计开发、功能测试、应用培训、部署上线等工作。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延安大学附属医院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1、采购人对供应商提供的产品在使用前进行调试时，供应商需负责安装并培训采购人的使用操作人员，并协助采购人一起调试，直到符合技术要求，采购人才做最终验收。 2、验收时采购方、供应商等项目相关方都须在场，验收完毕后一致作出验收结果报告。 3、交付文档验收要求： 项目的工作内容及成果文档的提交应覆盖以下内容，电子文档是成果不可分割的部分。 （1）系统的体系架构及描述。 （2）提供的其它技术手册，包括：《总体设计报告》；需求分析报告（含软件功能需求与数据要求）；《详细设计说明书》；《数据字典》；《接口文档》；系统实施确认书；软件培训资料；《系统运行维护手册》；程序安装维护手册；软件使用操作手册；项目验收报告。 （3）符合招标方项目管理要求，提交相应项目资料。</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合同签订后，成交单位向采购方提供发票及付款申请</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项目系统上线正常运行一个月且符合合同、磋商文件、响应文件文件及实施计划的技术要求，采购方组织相关人员进行项目系统验收，双方签名确认验收报告，成交单位向采购方提供发票及付款申请</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双方约定项目系统上线正常运行5年后且符合合同、磋商文件、响应文件及实施计划的技术要求，成交单位向采购方提交付款申请，采购方收到付款申请后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凡因本合同的签订、履行、解除、终止引起的或与本合同有关的任何争议，双方应通过友好协商解决，协商不成时，向延安市宝塔区人民法院提起诉讼解决。诉讼期间,双方应继续执行合同其余部分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1、实施范围 针对本次延安大学附属医院数智专病库系统项目建设，供应商须提供延安大学附属医院上线实施和服务，在响应文件中提供承诺并加盖供应商公章。 2、项目培训 2.1培训：培训对象包括系统管理员、医院管理人员、操作员，系统管理人员培训内容为系统中涉及的相关技术内容；医院管理人员培训内容为系统流程和相关管理思想；操作员为系统的操作培训。 2.2根据医院的情况制定相关培训方案，课程设置等。包括培训资料、讲义等。 2.3所有的培训费用必须计入投标总价。 3、售后服务 3.1本次项目中涉及的软件产品须至少自验收之日起提供五年免费维保服务，本次项目中涉及的硬件产品中服务器须至少提供三年原厂质保，交换机须提供一年质保。 3.2供应商应对每个专病库提供2个科研服务指导，帮助完成课题设计、数据治理、统计分析等科研服务。 3.3供应商应在响应文件中说明在免费维保期内提供的服务计划，维护范围包括（包括但不限于）软件安装，调试、维修，接口、集成、升级等内容。 3.4在免费维保期内，供应商应确保系统的正常使用。项目验收后有项目服务组人员驻场，根据实际需要，指定工程技术人员提供技术服务，采取现场支持、远程维护、电话、电子邮件、互联网远程支持等多种服务方式。要求驻场至少1人，驻场人员必须是项目实施组成员，且具备2年以上相关工作经验。 3.5项目建设及维保期内，软件版本及相关知识库免费升级。 3.6在免费维保期内，提供全年每周7天、每天24小时的全天候服务和每天24小时热线电话服务，包括节假日，电话响应时间不超过30分钟，一级故障到场处理包括到场时间不超过2h，二级故障到场处理时间不超过3h，三级故障处理时间不超过48h，四级故障处理时间不超过一周。 一级故障：系统停机、数据库故障、服务器瘫痪等，或对正常业务运作有严重影响。 二级故障：系统的操作性能严重下降，或由于系统性能明显下降，使业务运作有影响，系统功能bug或日常故障。 三级故障：系统的操作性能下降，但大部分业务运作仍可正常工作。 四级故障：软件功能、硬件更换、接口对接或其他需要时间修改的问题。 3.7项目验收合格后，每年不低于4次的例行维护及巡检。例行维护内容包括：软件的功能增强性维护等应用软件系统扩充升级（其中包括系统维护、跟踪检测），保证供应商所产品的正常运行。 3.8根据国家级或省市级指令性文件要求，无偿配合完成国家级或省市级指令性文件工作内容。 3.9软件系统健康检查（对系统的配置及运作框架进行优化、降低系统潜在的风险，包括数据丢失、安全漏洞、系统崩溃、性能降低及资源紧张、数据迁移、灾难恢复、备份和恢复验证，检查并分析系统日志及跟踪文件，发现并排除数据库系统错误隐患、检查数据库系统是否需要应用最新的补丁集、检查数据库空间的使用情况、协助进行数据库空间的规划管理、检查数据库备份的完整性、监控数据库性能、确认系统的资源需求、优化数据库、通过改善系统环境的稳定性来降低潜在的系统宕机时间、制定备份和恢复方案）； 3.10免费维保期满后，另签维保协议。每年的维保服务费介于合同额的3%-5%。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供应商认为有必要说明的其他问题.docx 响应函 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供应商须提供2024年度的财务审计报告(成立时间至提交响应文件截止时间不足一年的可提供成立后任意时段的资产负债表)，或其基本存款账户开户银行出具的资信证明及基本存款账户开户信息；</w:t>
            </w:r>
          </w:p>
        </w:tc>
        <w:tc>
          <w:tcPr>
            <w:tcW w:type="dxa" w:w="1661"/>
          </w:tcPr>
          <w:p>
            <w:pPr>
              <w:pStyle w:val="null3"/>
            </w:pPr>
            <w:r>
              <w:rPr>
                <w:rFonts w:ascii="仿宋_GB2312" w:hAnsi="仿宋_GB2312" w:cs="仿宋_GB2312" w:eastAsia="仿宋_GB2312"/>
              </w:rPr>
              <w:t>供应商认为有必要说明的其他问题.docx 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供应商认为有必要说明的其他问题.docx 报价表 响应函 商务偏离表.docx 资质证明文件.docx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落实政府采购相关政策</w:t>
            </w:r>
          </w:p>
        </w:tc>
        <w:tc>
          <w:tcPr>
            <w:tcW w:type="dxa" w:w="3322"/>
          </w:tcPr>
          <w:p>
            <w:pPr>
              <w:pStyle w:val="null3"/>
            </w:pPr>
            <w:r>
              <w:rPr>
                <w:rFonts w:ascii="仿宋_GB2312" w:hAnsi="仿宋_GB2312" w:cs="仿宋_GB2312" w:eastAsia="仿宋_GB2312"/>
              </w:rPr>
              <w:t>（1）政府采购促进中小企业发展管理办法的通知--财库[2020]46号； （2）财政部司法部关于政府采购支持监狱企业发展有关问题的通知--财库[2014]68号； （3）国务院办公厅关于建立政府强制采购节能产品制度的通知--国办发[2007]51号； （4）关于促进残疾人就业政府采购政策的通知--财库[2017]141号； （5）财政部、国家发改委、生态环境部、市场监管总局联合印发《关于调整优化节能产品、环境标志产品政府采购执行机制的通知》（财库〔2019〕9号）； （6）财政部农业农村部国家乡村振兴局关于运用政府采购政策支持乡村产业振兴的通知（财库〔2021〕19号）、财政部农业农村部国家乡村振兴局中华全国供销合作总社关于印发&lt;关于深入开展政府采购脱贫地区农副产品工作推进乡村产业振兴的实施意见&gt;的通知（财库〔2021〕20号）； （7）《陕西省财政厅关于加快推进我省中小企业政府采购信用融资工作的通知》（陕财办采〔2020〕15号）、陕西省财政厅关于印发《陕西省中小企业政府采购信用融资办法》（陕财办采〔2018〕23号）。</w:t>
            </w:r>
          </w:p>
        </w:tc>
        <w:tc>
          <w:tcPr>
            <w:tcW w:type="dxa" w:w="1661"/>
          </w:tcPr>
          <w:p>
            <w:pPr>
              <w:pStyle w:val="null3"/>
            </w:pPr>
            <w:r>
              <w:rPr>
                <w:rFonts w:ascii="仿宋_GB2312" w:hAnsi="仿宋_GB2312" w:cs="仿宋_GB2312" w:eastAsia="仿宋_GB2312"/>
              </w:rPr>
              <w:t>业绩.docx 中小企业声明函 报价表 技术商务服务方案.docx 响应文件封面 技术偏离表.docx 残疾人福利性单位声明函 供应商认为有必要说明的其他问题.docx 标的清单 标的清单-1.docx 响应函 商务偏离表.docx 资质证明文件.docx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具有独立承担民事责任能力的法人或其他组织，提供合法有效的统一社会信用代码的营业执照（附年度报告书）或事业单位法人证书等国家规定的相关证明，自然人参与的提供其身份证明；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供应商认为有必要说明的其他问题.docx 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法定代表人授权书（附法定代表人身份证复印件）及被授权人身份证（法定代表人直接参加只须提供法定代表人身份证）；</w:t>
            </w:r>
          </w:p>
        </w:tc>
        <w:tc>
          <w:tcPr>
            <w:tcW w:type="dxa" w:w="1661"/>
          </w:tcPr>
          <w:p>
            <w:pPr>
              <w:pStyle w:val="null3"/>
            </w:pPr>
            <w:r>
              <w:rPr>
                <w:rFonts w:ascii="仿宋_GB2312" w:hAnsi="仿宋_GB2312" w:cs="仿宋_GB2312" w:eastAsia="仿宋_GB2312"/>
              </w:rPr>
              <w:t>资质证明文件.docx 法定代表人证明书与授权书.docx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提供2025年度2月至2026年度2月份任意一个月份的缴税凭证或依法免税的供应商应提供相关文件证明；</w:t>
            </w:r>
          </w:p>
        </w:tc>
        <w:tc>
          <w:tcPr>
            <w:tcW w:type="dxa" w:w="1661"/>
          </w:tcPr>
          <w:p>
            <w:pPr>
              <w:pStyle w:val="null3"/>
            </w:pPr>
            <w:r>
              <w:rPr>
                <w:rFonts w:ascii="仿宋_GB2312" w:hAnsi="仿宋_GB2312" w:cs="仿宋_GB2312" w:eastAsia="仿宋_GB2312"/>
              </w:rPr>
              <w:t>供应商认为有必要说明的其他问题.docx 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提供2025年2月份至2026年2月份任意一个月份的社会保障资金缴存证明或社保机构开具的社会保险参保缴费情况证明；依法不需要缴纳社会保障资金的应提供相关文件证明；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供应商认为有必要说明的其他问题.docx 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供应商须提供2024年度的财务审计报告(成立时间至提交响应文件截止时间不足一年的可提供成立后任意时段的资产负债表)，或其基本存款账户开户银行出具的资信证明及基本存款账户开户信息；</w:t>
            </w:r>
          </w:p>
        </w:tc>
        <w:tc>
          <w:tcPr>
            <w:tcW w:type="dxa" w:w="1661"/>
          </w:tcPr>
          <w:p>
            <w:pPr>
              <w:pStyle w:val="null3"/>
            </w:pPr>
            <w:r>
              <w:rPr>
                <w:rFonts w:ascii="仿宋_GB2312" w:hAnsi="仿宋_GB2312" w:cs="仿宋_GB2312" w:eastAsia="仿宋_GB2312"/>
              </w:rPr>
              <w:t>供应商认为有必要说明的其他问题.docx 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按格式填写）经查，投标单位未被列入“信用中国”网站记录的“严重失信主体”或“重大税收违法失信主体”名单；不处于“中国政府采购网”记录的“政府采购严重违法失信行为信息记录名单”中的禁止参加政府采购活动期间，且参加政府采购活动近三年内，在经营活动中没有重大违法记录；</w:t>
            </w:r>
          </w:p>
        </w:tc>
        <w:tc>
          <w:tcPr>
            <w:tcW w:type="dxa" w:w="1661"/>
          </w:tcPr>
          <w:p>
            <w:pPr>
              <w:pStyle w:val="null3"/>
            </w:pPr>
            <w:r>
              <w:rPr>
                <w:rFonts w:ascii="仿宋_GB2312" w:hAnsi="仿宋_GB2312" w:cs="仿宋_GB2312" w:eastAsia="仿宋_GB2312"/>
              </w:rPr>
              <w:t>附件1.docx 供应商认为有必要说明的其他问题.docx 资质证明文件.docx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提供非联合体投标声明。</w:t>
            </w:r>
          </w:p>
        </w:tc>
        <w:tc>
          <w:tcPr>
            <w:tcW w:type="dxa" w:w="1661"/>
          </w:tcPr>
          <w:p>
            <w:pPr>
              <w:pStyle w:val="null3"/>
            </w:pPr>
            <w:r>
              <w:rPr>
                <w:rFonts w:ascii="仿宋_GB2312" w:hAnsi="仿宋_GB2312" w:cs="仿宋_GB2312" w:eastAsia="仿宋_GB2312"/>
              </w:rPr>
              <w:t>供应商认为有必要说明的其他问题.docx 资质证明文件.docx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业绩.docx 中小企业声明函 报价表 技术商务服务方案.docx 响应文件封面 技术偏离表.docx 残疾人福利性单位声明函 供应商认为有必要说明的其他问题.docx 标的清单 标的清单-1.docx 响应函 商务偏离表.docx 资质证明文件.docx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符合磋商文件的实质性要求</w:t>
            </w:r>
          </w:p>
        </w:tc>
        <w:tc>
          <w:tcPr>
            <w:tcW w:type="dxa" w:w="3322"/>
          </w:tcPr>
          <w:p>
            <w:pPr>
              <w:pStyle w:val="null3"/>
            </w:pPr>
            <w:r>
              <w:rPr>
                <w:rFonts w:ascii="仿宋_GB2312" w:hAnsi="仿宋_GB2312" w:cs="仿宋_GB2312" w:eastAsia="仿宋_GB2312"/>
              </w:rPr>
              <w:t>供应商按照采购文件要求上传响应文件并进行电子签章</w:t>
            </w:r>
          </w:p>
        </w:tc>
        <w:tc>
          <w:tcPr>
            <w:tcW w:type="dxa" w:w="1661"/>
          </w:tcPr>
          <w:p>
            <w:pPr>
              <w:pStyle w:val="null3"/>
            </w:pPr>
            <w:r>
              <w:rPr>
                <w:rFonts w:ascii="仿宋_GB2312" w:hAnsi="仿宋_GB2312" w:cs="仿宋_GB2312" w:eastAsia="仿宋_GB2312"/>
              </w:rPr>
              <w:t>业绩.docx 中小企业声明函 报价表 技术商务服务方案.docx 响应文件封面 技术偏离表.docx 残疾人福利性单位声明函 供应商认为有必要说明的其他问题.docx 标的清单 标的清单-1.docx 响应函 商务偏离表.docx 资质证明文件.docx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不属于采购文件规定的无效情形</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业绩.docx 中小企业声明函 报价表 技术商务服务方案.docx 响应文件封面 技术偏离表.docx 残疾人福利性单位声明函 供应商认为有必要说明的其他问题.docx 标的清单 标的清单-1.docx 响应函 商务偏离表.docx 资质证明文件.docx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均符合磋商文件要求</w:t>
            </w:r>
          </w:p>
        </w:tc>
        <w:tc>
          <w:tcPr>
            <w:tcW w:type="dxa" w:w="1661"/>
          </w:tcPr>
          <w:p>
            <w:pPr>
              <w:pStyle w:val="null3"/>
            </w:pPr>
            <w:r>
              <w:rPr>
                <w:rFonts w:ascii="仿宋_GB2312" w:hAnsi="仿宋_GB2312" w:cs="仿宋_GB2312" w:eastAsia="仿宋_GB2312"/>
              </w:rPr>
              <w:t>业绩.docx 中小企业声明函 报价表 技术商务服务方案.docx 响应文件封面 技术偏离表.docx 残疾人福利性单位声明函 供应商认为有必要说明的其他问题.docx 标的清单 标的清单-1.docx 响应函 商务偏离表.docx 资质证明文件.docx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响应文件的语言及计量单位</w:t>
            </w:r>
          </w:p>
        </w:tc>
        <w:tc>
          <w:tcPr>
            <w:tcW w:type="dxa" w:w="3322"/>
          </w:tcPr>
          <w:p>
            <w:pPr>
              <w:pStyle w:val="null3"/>
            </w:pPr>
            <w:r>
              <w:rPr>
                <w:rFonts w:ascii="仿宋_GB2312" w:hAnsi="仿宋_GB2312" w:cs="仿宋_GB2312" w:eastAsia="仿宋_GB2312"/>
              </w:rPr>
              <w:t>均符合采购文件要求</w:t>
            </w:r>
          </w:p>
        </w:tc>
        <w:tc>
          <w:tcPr>
            <w:tcW w:type="dxa" w:w="1661"/>
          </w:tcPr>
          <w:p>
            <w:pPr>
              <w:pStyle w:val="null3"/>
            </w:pPr>
            <w:r>
              <w:rPr>
                <w:rFonts w:ascii="仿宋_GB2312" w:hAnsi="仿宋_GB2312" w:cs="仿宋_GB2312" w:eastAsia="仿宋_GB2312"/>
              </w:rPr>
              <w:t>业绩.docx 中小企业声明函 报价表 技术商务服务方案.docx 响应文件封面 技术偏离表.docx 残疾人福利性单位声明函 供应商认为有必要说明的其他问题.docx 标的清单 标的清单-1.docx 响应函 商务偏离表.docx 资质证明文件.docx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建设内容方案 （20分）</w:t>
            </w:r>
          </w:p>
        </w:tc>
        <w:tc>
          <w:tcPr>
            <w:tcW w:type="dxa" w:w="2492"/>
          </w:tcPr>
          <w:p>
            <w:pPr>
              <w:pStyle w:val="null3"/>
            </w:pPr>
            <w:r>
              <w:rPr>
                <w:rFonts w:ascii="仿宋_GB2312" w:hAnsi="仿宋_GB2312" w:cs="仿宋_GB2312" w:eastAsia="仿宋_GB2312"/>
              </w:rPr>
              <w:t>供应商须针对项目提供详细的建设内容方案，方案应充分理解采购人对于本项目的建设思路及需求，包含但不限于：对建设原则、建设要求、总体设计及特点、系统组成与核心功能模块的描述。 得分标准：1、方案理解深刻，逻辑清晰，内容详实，建设内容完全覆盖并优于磋商要求，针对性强，完全满足项目实施需要，得20分；2、方案理解较充分，逻辑较清晰，内容较完整，建设内容达到磋商要求，具有较好的针对性，得15分；3、方案理解基本到位，内容基本完整，但部分建设内容描述不够深入或略有欠缺，基本满足磋商要求，得10分；4、方案理解有偏差，内容不完整、针对性弱，存在缺陷或套用痕迹，未能有效满足磋商要求或不具备可行性，得5分；5、不提供建设内容方案，得0分。（内容缺陷是指：内容非专门针对本项目或不适用项目特性的情形、内容不够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技术商务服务方案.docx</w:t>
            </w:r>
          </w:p>
        </w:tc>
      </w:tr>
      <w:tr>
        <w:tc>
          <w:tcPr>
            <w:tcW w:type="dxa" w:w="831"/>
            <w:vMerge/>
          </w:tcPr>
          <w:p/>
        </w:tc>
        <w:tc>
          <w:tcPr>
            <w:tcW w:type="dxa" w:w="1661"/>
          </w:tcPr>
          <w:p>
            <w:pPr>
              <w:pStyle w:val="null3"/>
            </w:pPr>
            <w:r>
              <w:rPr>
                <w:rFonts w:ascii="仿宋_GB2312" w:hAnsi="仿宋_GB2312" w:cs="仿宋_GB2312" w:eastAsia="仿宋_GB2312"/>
              </w:rPr>
              <w:t>项目技术方案 （20分）</w:t>
            </w:r>
          </w:p>
        </w:tc>
        <w:tc>
          <w:tcPr>
            <w:tcW w:type="dxa" w:w="2492"/>
          </w:tcPr>
          <w:p>
            <w:pPr>
              <w:pStyle w:val="null3"/>
            </w:pPr>
            <w:r>
              <w:rPr>
                <w:rFonts w:ascii="仿宋_GB2312" w:hAnsi="仿宋_GB2312" w:cs="仿宋_GB2312" w:eastAsia="仿宋_GB2312"/>
              </w:rPr>
              <w:t>供应商须提供详细的技术方案，方案应包含但不限于：技术架构、与科研大数据平台的交互方案、数据治理与分析方法、系统安全设计等方面。 得分标准：1、方案合理，内容详细，措施完善，可行性强，技术架构先进，交互方案清晰，完全满足或优于招标要求，得20分；2、方案较合理，内容较详细，措施合理，可行性较好，达到磋商要求，得15分；3、案内容有遗漏，措施欠合理，可行性较差或仅基本达到磋商要求。，得10分；4、方案不合理，内容存在重大缺陷，可行性差或低于磋商要求，得5分；5、未对上述方案进行描述，得0分。（内容缺陷是指：内容非专门针对本项目或不适用项目特性的情形、内容不够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技术商务服务方案.docx</w:t>
            </w:r>
          </w:p>
          <w:p>
            <w:pPr>
              <w:pStyle w:val="null3"/>
            </w:pPr>
            <w:r>
              <w:rPr>
                <w:rFonts w:ascii="仿宋_GB2312" w:hAnsi="仿宋_GB2312" w:cs="仿宋_GB2312" w:eastAsia="仿宋_GB2312"/>
              </w:rPr>
              <w:t>供应商认为有必要说明的其他问题.docx</w:t>
            </w:r>
          </w:p>
        </w:tc>
      </w:tr>
      <w:tr>
        <w:tc>
          <w:tcPr>
            <w:tcW w:type="dxa" w:w="831"/>
            <w:vMerge/>
          </w:tcPr>
          <w:p/>
        </w:tc>
        <w:tc>
          <w:tcPr>
            <w:tcW w:type="dxa" w:w="1661"/>
          </w:tcPr>
          <w:p>
            <w:pPr>
              <w:pStyle w:val="null3"/>
            </w:pPr>
            <w:r>
              <w:rPr>
                <w:rFonts w:ascii="仿宋_GB2312" w:hAnsi="仿宋_GB2312" w:cs="仿宋_GB2312" w:eastAsia="仿宋_GB2312"/>
              </w:rPr>
              <w:t>功能演示（8分）</w:t>
            </w:r>
          </w:p>
        </w:tc>
        <w:tc>
          <w:tcPr>
            <w:tcW w:type="dxa" w:w="2492"/>
          </w:tcPr>
          <w:p>
            <w:pPr>
              <w:pStyle w:val="null3"/>
            </w:pPr>
            <w:r>
              <w:rPr>
                <w:rFonts w:ascii="仿宋_GB2312" w:hAnsi="仿宋_GB2312" w:cs="仿宋_GB2312" w:eastAsia="仿宋_GB2312"/>
              </w:rPr>
              <w:t>演示内容（功能）要求：对技术参数中标“▲”内容，进行演示，每个“▲”2分，总计8分。 得分标准：1、评审现场播放提前录制好的演示视频，所录制的演示视频中系统环境必须是在真实用户实装系统进行现场操作演示，演示视频为应用系统录屏加解说的方式录制，演示文件存储格式为 MP4，以U盘形式提交（U盘作为后期验证系统真实性的依据），功能覆盖以上“▲”内容功能，演示时间最长为15分钟，得8分；2、演示内容缺失的，按缺失“▲”数量相应扣分；3、无演示内容/PPT、Demo等其他形式要求以外其他方式进行演示的或者放弃现场演示的，不得分；4、演示超过15分钟，则超时部分的演示内容本单项不予赋分； 5、供应商自行承担所递交视频资料无法打开（或无法播放）带来的后果。 注：演示U盘递交地址：延安市新区大都荟B座501。</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技术商务服务方案.docx</w:t>
            </w:r>
          </w:p>
          <w:p>
            <w:pPr>
              <w:pStyle w:val="null3"/>
            </w:pPr>
            <w:r>
              <w:rPr>
                <w:rFonts w:ascii="仿宋_GB2312" w:hAnsi="仿宋_GB2312" w:cs="仿宋_GB2312" w:eastAsia="仿宋_GB2312"/>
              </w:rPr>
              <w:t>供应商认为有必要说明的其他问题.docx</w:t>
            </w:r>
          </w:p>
        </w:tc>
      </w:tr>
      <w:tr>
        <w:tc>
          <w:tcPr>
            <w:tcW w:type="dxa" w:w="831"/>
            <w:vMerge/>
          </w:tcPr>
          <w:p/>
        </w:tc>
        <w:tc>
          <w:tcPr>
            <w:tcW w:type="dxa" w:w="1661"/>
          </w:tcPr>
          <w:p>
            <w:pPr>
              <w:pStyle w:val="null3"/>
            </w:pPr>
            <w:r>
              <w:rPr>
                <w:rFonts w:ascii="仿宋_GB2312" w:hAnsi="仿宋_GB2312" w:cs="仿宋_GB2312" w:eastAsia="仿宋_GB2312"/>
              </w:rPr>
              <w:t>项目实施方案（10分）</w:t>
            </w:r>
          </w:p>
        </w:tc>
        <w:tc>
          <w:tcPr>
            <w:tcW w:type="dxa" w:w="2492"/>
          </w:tcPr>
          <w:p>
            <w:pPr>
              <w:pStyle w:val="null3"/>
            </w:pPr>
            <w:r>
              <w:rPr>
                <w:rFonts w:ascii="仿宋_GB2312" w:hAnsi="仿宋_GB2312" w:cs="仿宋_GB2312" w:eastAsia="仿宋_GB2312"/>
              </w:rPr>
              <w:t>供应商须针对项目制定项目实施方案，方案应包含但不限于：管理方案（包括计划、人员、沟通、风险等内容）、项目进度及验收方案、质量保障方案。 得分标准：1、方案中包含以上3个要素且充分考虑采购人的实际现状，科学规范，覆盖全面，客观、准确、可行，能完全满足或优于项目实施实际需要的，得10分；2、每缺少一项扣2分，一项有缺陷扣1分，扣完为止。 (内容缺陷是指: 内容非专门针对本项目或不适用项目特性的情形、内容不够完整或缺少关键节点、套用其他项目方案、内容前后矛盾、涉及的规范及标准错误、不利于项目实施、不可能实现的情形等任意一种情形。)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技术商务服务方案.docx</w:t>
            </w:r>
          </w:p>
          <w:p>
            <w:pPr>
              <w:pStyle w:val="null3"/>
            </w:pPr>
            <w:r>
              <w:rPr>
                <w:rFonts w:ascii="仿宋_GB2312" w:hAnsi="仿宋_GB2312" w:cs="仿宋_GB2312" w:eastAsia="仿宋_GB2312"/>
              </w:rPr>
              <w:t>供应商认为有必要说明的其他问题.docx</w:t>
            </w:r>
          </w:p>
        </w:tc>
      </w:tr>
      <w:tr>
        <w:tc>
          <w:tcPr>
            <w:tcW w:type="dxa" w:w="831"/>
            <w:vMerge/>
          </w:tcPr>
          <w:p/>
        </w:tc>
        <w:tc>
          <w:tcPr>
            <w:tcW w:type="dxa" w:w="1661"/>
          </w:tcPr>
          <w:p>
            <w:pPr>
              <w:pStyle w:val="null3"/>
            </w:pPr>
            <w:r>
              <w:rPr>
                <w:rFonts w:ascii="仿宋_GB2312" w:hAnsi="仿宋_GB2312" w:cs="仿宋_GB2312" w:eastAsia="仿宋_GB2312"/>
              </w:rPr>
              <w:t>突发事件应急预案（7分）</w:t>
            </w:r>
          </w:p>
        </w:tc>
        <w:tc>
          <w:tcPr>
            <w:tcW w:type="dxa" w:w="2492"/>
          </w:tcPr>
          <w:p>
            <w:pPr>
              <w:pStyle w:val="null3"/>
            </w:pPr>
            <w:r>
              <w:rPr>
                <w:rFonts w:ascii="仿宋_GB2312" w:hAnsi="仿宋_GB2312" w:cs="仿宋_GB2312" w:eastAsia="仿宋_GB2312"/>
              </w:rPr>
              <w:t>供应商须为保障医院数据信息安全，提供详细的突发事件应急预案，方案应包含但不限于：应急预案、突发问题解决、故障的响应速度以及处理方案等。 得分标准：1、方案中包含以上4个要素且充分考虑采购人的实际现状，科学规范，覆盖全面，客观、准确、可行，能完全满足或优于项目实施实际需要的，得7分；2、 每缺少一项核心要素扣1.5分。 每有一项内容存在缺陷或不完善扣0.5分，扣完为止。（内容缺陷是指：内容非专门针对本项目或不适用项目特性的情形、内容不够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技术商务服务方案.docx</w:t>
            </w:r>
          </w:p>
          <w:p>
            <w:pPr>
              <w:pStyle w:val="null3"/>
            </w:pPr>
            <w:r>
              <w:rPr>
                <w:rFonts w:ascii="仿宋_GB2312" w:hAnsi="仿宋_GB2312" w:cs="仿宋_GB2312" w:eastAsia="仿宋_GB2312"/>
              </w:rPr>
              <w:t>供应商认为有必要说明的其他问题.docx</w:t>
            </w:r>
          </w:p>
        </w:tc>
      </w:tr>
      <w:tr>
        <w:tc>
          <w:tcPr>
            <w:tcW w:type="dxa" w:w="831"/>
            <w:vMerge/>
          </w:tcPr>
          <w:p/>
        </w:tc>
        <w:tc>
          <w:tcPr>
            <w:tcW w:type="dxa" w:w="1661"/>
          </w:tcPr>
          <w:p>
            <w:pPr>
              <w:pStyle w:val="null3"/>
            </w:pPr>
            <w:r>
              <w:rPr>
                <w:rFonts w:ascii="仿宋_GB2312" w:hAnsi="仿宋_GB2312" w:cs="仿宋_GB2312" w:eastAsia="仿宋_GB2312"/>
              </w:rPr>
              <w:t>培训方案 （10分）</w:t>
            </w:r>
          </w:p>
        </w:tc>
        <w:tc>
          <w:tcPr>
            <w:tcW w:type="dxa" w:w="2492"/>
          </w:tcPr>
          <w:p>
            <w:pPr>
              <w:pStyle w:val="null3"/>
            </w:pPr>
            <w:r>
              <w:rPr>
                <w:rFonts w:ascii="仿宋_GB2312" w:hAnsi="仿宋_GB2312" w:cs="仿宋_GB2312" w:eastAsia="仿宋_GB2312"/>
              </w:rPr>
              <w:t>供应商须提供完善的培训计划，方案应包含但不限于：培训目标、培训内容、培训对象、培训方式、培训时间安排、培训考核等。 得分标准：1、方案及计划清晰合理、有针对性、切实可行，本项得满分10分；2、方案每出现一项缺陷、不完善或缺乏针对性或其他弱势之处扣1分，扣完为止。（内容缺陷是指：内容非专门针对本项目或不适用项目特性的情形、内容不够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技术商务服务方案.docx</w:t>
            </w:r>
          </w:p>
          <w:p>
            <w:pPr>
              <w:pStyle w:val="null3"/>
            </w:pPr>
            <w:r>
              <w:rPr>
                <w:rFonts w:ascii="仿宋_GB2312" w:hAnsi="仿宋_GB2312" w:cs="仿宋_GB2312" w:eastAsia="仿宋_GB2312"/>
              </w:rPr>
              <w:t>供应商认为有必要说明的其他问题.docx</w:t>
            </w:r>
          </w:p>
        </w:tc>
      </w:tr>
      <w:tr>
        <w:tc>
          <w:tcPr>
            <w:tcW w:type="dxa" w:w="831"/>
            <w:vMerge/>
          </w:tcPr>
          <w:p/>
        </w:tc>
        <w:tc>
          <w:tcPr>
            <w:tcW w:type="dxa" w:w="1661"/>
          </w:tcPr>
          <w:p>
            <w:pPr>
              <w:pStyle w:val="null3"/>
            </w:pPr>
            <w:r>
              <w:rPr>
                <w:rFonts w:ascii="仿宋_GB2312" w:hAnsi="仿宋_GB2312" w:cs="仿宋_GB2312" w:eastAsia="仿宋_GB2312"/>
              </w:rPr>
              <w:t>业绩证明（5分）</w:t>
            </w:r>
          </w:p>
        </w:tc>
        <w:tc>
          <w:tcPr>
            <w:tcW w:type="dxa" w:w="2492"/>
          </w:tcPr>
          <w:p>
            <w:pPr>
              <w:pStyle w:val="null3"/>
            </w:pPr>
            <w:r>
              <w:rPr>
                <w:rFonts w:ascii="仿宋_GB2312" w:hAnsi="仿宋_GB2312" w:cs="仿宋_GB2312" w:eastAsia="仿宋_GB2312"/>
              </w:rPr>
              <w:t>提供自2020年1月1日以来（以签订时间为准）国内同类（医疗科研平台、专病库、数据治理或数据分析等方面的）业绩（要求已验收），每有一项得1分，不提供不得分，最多得5分。须提供合同首页、盖章页、关键服务内容页的复印件，并加盖本单位公章)。 证明材料：提供合同扫描件，不提供不得分。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技术商务服务方案.docx</w:t>
            </w:r>
          </w:p>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供应商认为有必要说明的其他问题.docx</w:t>
            </w:r>
          </w:p>
        </w:tc>
      </w:tr>
      <w:tr>
        <w:tc>
          <w:tcPr>
            <w:tcW w:type="dxa" w:w="831"/>
            <w:vMerge/>
          </w:tcPr>
          <w:p/>
        </w:tc>
        <w:tc>
          <w:tcPr>
            <w:tcW w:type="dxa" w:w="1661"/>
          </w:tcPr>
          <w:p>
            <w:pPr>
              <w:pStyle w:val="null3"/>
            </w:pPr>
            <w:r>
              <w:rPr>
                <w:rFonts w:ascii="仿宋_GB2312" w:hAnsi="仿宋_GB2312" w:cs="仿宋_GB2312" w:eastAsia="仿宋_GB2312"/>
              </w:rPr>
              <w:t>售后服务 （10分）</w:t>
            </w:r>
          </w:p>
        </w:tc>
        <w:tc>
          <w:tcPr>
            <w:tcW w:type="dxa" w:w="2492"/>
          </w:tcPr>
          <w:p>
            <w:pPr>
              <w:pStyle w:val="null3"/>
            </w:pPr>
            <w:r>
              <w:rPr>
                <w:rFonts w:ascii="仿宋_GB2312" w:hAnsi="仿宋_GB2312" w:cs="仿宋_GB2312" w:eastAsia="仿宋_GB2312"/>
              </w:rPr>
              <w:t>供应商须针对项目制定售后服务方案，方案应包含但不限于：售后服务承诺、售后服务内容、售后服务响应时间等。 得分标准：1、方案中包含以上3个要素且充分考虑采购人的实际现状，科学规范，覆盖全面，客观、准确、可行，能完全满足或优于项目实施实际需要的，得满分10分；2、每缺少一项扣2分，一项有缺陷扣1分，扣完为止。 （内容缺陷是指：内容非专门针对本项目或不适用项目特性的情形、内容不够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技术商务服务方案.docx</w:t>
            </w:r>
          </w:p>
          <w:p>
            <w:pPr>
              <w:pStyle w:val="null3"/>
            </w:pPr>
            <w:r>
              <w:rPr>
                <w:rFonts w:ascii="仿宋_GB2312" w:hAnsi="仿宋_GB2312" w:cs="仿宋_GB2312" w:eastAsia="仿宋_GB2312"/>
              </w:rPr>
              <w:t>供应商认为有必要说明的其他问题.docx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以满足磋商文件要求且磋商价格最低的响应报价为评标基准价，其价格分为满分10分，其他投标人的价格分按照下列公式计算：磋商报价得分=（评标基准价/响应报价）×10%×100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供应商认为有必要说明的其他问题.docx</w:t>
            </w:r>
          </w:p>
          <w:p>
            <w:pPr>
              <w:pStyle w:val="null3"/>
            </w:pPr>
            <w:r>
              <w:rPr>
                <w:rFonts w:ascii="仿宋_GB2312" w:hAnsi="仿宋_GB2312" w:cs="仿宋_GB2312" w:eastAsia="仿宋_GB2312"/>
              </w:rPr>
              <w:t>标的清单-1.docx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供应商认为有必要说明的其他问题.docx</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标的清单-1.docx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详见附件：标的清单-1.docx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详见附件：法定代表人证明书与授权书.docx</w:t>
      </w:r>
    </w:p>
    <w:p>
      <w:pPr>
        <w:pStyle w:val="null3"/>
        <w:ind w:firstLine="960"/>
      </w:pPr>
      <w:r>
        <w:rPr>
          <w:rFonts w:ascii="仿宋_GB2312" w:hAnsi="仿宋_GB2312" w:cs="仿宋_GB2312" w:eastAsia="仿宋_GB2312"/>
        </w:rPr>
        <w:t>详见附件：资质证明文件.docx</w:t>
      </w:r>
    </w:p>
    <w:p>
      <w:pPr>
        <w:pStyle w:val="null3"/>
        <w:ind w:firstLine="960"/>
      </w:pPr>
      <w:r>
        <w:rPr>
          <w:rFonts w:ascii="仿宋_GB2312" w:hAnsi="仿宋_GB2312" w:cs="仿宋_GB2312" w:eastAsia="仿宋_GB2312"/>
        </w:rPr>
        <w:t>详见附件：附件1.docx</w:t>
      </w:r>
    </w:p>
    <w:p>
      <w:pPr>
        <w:pStyle w:val="null3"/>
        <w:ind w:firstLine="960"/>
      </w:pPr>
      <w:r>
        <w:rPr>
          <w:rFonts w:ascii="仿宋_GB2312" w:hAnsi="仿宋_GB2312" w:cs="仿宋_GB2312" w:eastAsia="仿宋_GB2312"/>
        </w:rPr>
        <w:t>详见附件：技术商务服务方案.docx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详见附件：供应商认为有必要说明的其他问题.docx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