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版本号：CRQ-ZB251227.1B120260316001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康复科国家中医康复中心设备采购项目(二次)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CRQ-ZB251227.1B1</w:t>
      </w:r>
      <w:r>
        <w:br/>
      </w:r>
      <w:r>
        <w:br/>
      </w:r>
      <w:r>
        <w:br/>
      </w:r>
    </w:p>
    <w:p>
      <w:pPr>
        <w:pStyle w:val="null3"/>
        <w:jc w:val="center"/>
        <w:outlineLvl w:val="2"/>
      </w:pPr>
      <w:r>
        <w:rPr>
          <w:rFonts w:ascii="仿宋_GB2312" w:hAnsi="仿宋_GB2312" w:cs="仿宋_GB2312" w:eastAsia="仿宋_GB2312"/>
          <w:sz w:val="28"/>
          <w:b/>
        </w:rPr>
        <w:t>陕西省中医医院</w:t>
      </w:r>
    </w:p>
    <w:p>
      <w:pPr>
        <w:pStyle w:val="null3"/>
        <w:jc w:val="center"/>
        <w:outlineLvl w:val="2"/>
      </w:pPr>
      <w:r>
        <w:rPr>
          <w:rFonts w:ascii="仿宋_GB2312" w:hAnsi="仿宋_GB2312" w:cs="仿宋_GB2312" w:eastAsia="仿宋_GB2312"/>
          <w:sz w:val="28"/>
          <w:b/>
        </w:rPr>
        <w:t>陕西承瑞祺项目管理咨询有限公司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陕西承瑞祺项目管理咨询有限公司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陕西省中医医院</w:t>
      </w:r>
      <w:r>
        <w:rPr>
          <w:rFonts w:ascii="仿宋_GB2312" w:hAnsi="仿宋_GB2312" w:cs="仿宋_GB2312" w:eastAsia="仿宋_GB2312"/>
        </w:rPr>
        <w:t>委托，拟对</w:t>
      </w:r>
      <w:r>
        <w:rPr>
          <w:rFonts w:ascii="仿宋_GB2312" w:hAnsi="仿宋_GB2312" w:cs="仿宋_GB2312" w:eastAsia="仿宋_GB2312"/>
        </w:rPr>
        <w:t>康复科国家中医康复中心设备采购项目(二次)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CRQ-ZB251227.1B1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康复科国家中医康复中心设备采购项目(二次)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康复科国家中医康复中心设备采购项目（二次）采购项目，本套设备包括：采购包1上肢康复训练机器人1套、上下肢主被动康复训练设备2套，具体采购内容及要求详见本项目招标文件、答疑文件等文件的全部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采购包1（上肢康复训练机器人、 上下肢主被动康复训练设备）：属于专门面向中小企业采购。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1、主体资格：供应商为向招标人提供货物及相应服务的法人或其他组织；</w:t>
      </w:r>
    </w:p>
    <w:p>
      <w:pPr>
        <w:pStyle w:val="null3"/>
      </w:pPr>
      <w:r>
        <w:rPr>
          <w:rFonts w:ascii="仿宋_GB2312" w:hAnsi="仿宋_GB2312" w:cs="仿宋_GB2312" w:eastAsia="仿宋_GB2312"/>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3、税收缴纳证明：供应商提供本单位在开标前6个月已缴纳的至少一个月纳税证明或完税证明，依法免税的单位应提供相关证明材料；</w:t>
      </w:r>
    </w:p>
    <w:p>
      <w:pPr>
        <w:pStyle w:val="null3"/>
      </w:pPr>
      <w:r>
        <w:rPr>
          <w:rFonts w:ascii="仿宋_GB2312" w:hAnsi="仿宋_GB2312" w:cs="仿宋_GB2312" w:eastAsia="仿宋_GB2312"/>
        </w:rPr>
        <w:t>4、财务状况证明：提供经会计师事务所审计的2024年的财务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5、信誉要求：供应商应出具参加本次政府采购活动前3年内在经营活动中没有重大违法违纪，截止至投标文件递交截止时间之前，供应商未被“信用中国”网站列入失信被执行人及重大税收违法失信主体名单，未被列入“中国政府采购网(www.ccgp.gov.cn)”政府采购严重违法失信行为记录名单；</w:t>
      </w:r>
    </w:p>
    <w:p>
      <w:pPr>
        <w:pStyle w:val="null3"/>
      </w:pPr>
      <w:r>
        <w:rPr>
          <w:rFonts w:ascii="仿宋_GB2312" w:hAnsi="仿宋_GB2312" w:cs="仿宋_GB2312" w:eastAsia="仿宋_GB2312"/>
        </w:rPr>
        <w:t>6、资质证书：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应按照现行医疗器械生产及销售的有关法律法规的规定，提供有效的医疗器械相应的生产厂家的医疗器械生产许可证或医疗器械生产备案凭证，并提供全部所投医疗器械的有效医疗器械注册证或医疗器械备案凭证。同时提供供应商合法有效的相应医疗器械经营许可证或医疗器械经营备案凭证；</w:t>
      </w:r>
    </w:p>
    <w:p>
      <w:pPr>
        <w:pStyle w:val="null3"/>
      </w:pPr>
      <w:r>
        <w:rPr>
          <w:rFonts w:ascii="仿宋_GB2312" w:hAnsi="仿宋_GB2312" w:cs="仿宋_GB2312" w:eastAsia="仿宋_GB2312"/>
        </w:rPr>
        <w:t>7、投标授权代表：供应商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8、是否接受联合体投标：本项目不接受联合体投标；</w:t>
      </w:r>
    </w:p>
    <w:p>
      <w:pPr>
        <w:pStyle w:val="null3"/>
      </w:pPr>
      <w:r>
        <w:rPr>
          <w:rFonts w:ascii="仿宋_GB2312" w:hAnsi="仿宋_GB2312" w:cs="仿宋_GB2312" w:eastAsia="仿宋_GB2312"/>
        </w:rPr>
        <w:t>9、是否面向中小企业采购：本项目专门面向中、小企业采购。</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陕西省西安市西华门4号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029-87252581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陕西承瑞祺项目管理咨询有限公司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陕西省西安市雁塔区丈八一路1号汇鑫中心B座24层2403室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李银杰、杨新羽、贺婷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13237119182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开户名称：陕西承瑞祺项目管理咨询有限公司</w:t>
            </w:r>
          </w:p>
          <w:p>
            <w:pPr>
              <w:pStyle w:val="null3"/>
            </w:pPr>
            <w:r>
              <w:rPr>
                <w:rFonts w:ascii="仿宋_GB2312" w:hAnsi="仿宋_GB2312" w:cs="仿宋_GB2312" w:eastAsia="仿宋_GB2312"/>
              </w:rPr>
              <w:t>开户银行：中国光大银行股份有限公司西安西关正街支行</w:t>
            </w:r>
          </w:p>
          <w:p>
            <w:pPr>
              <w:pStyle w:val="null3"/>
            </w:pPr>
            <w:r>
              <w:rPr>
                <w:rFonts w:ascii="仿宋_GB2312" w:hAnsi="仿宋_GB2312" w:cs="仿宋_GB2312" w:eastAsia="仿宋_GB2312"/>
              </w:rPr>
              <w:t>银行账号：52840188000070637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 857号）的有关规定下浮30%向采购代理机构一次付清代理服务费。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陕西省中医医院</w:t>
      </w:r>
      <w:r>
        <w:rPr>
          <w:rFonts w:ascii="仿宋_GB2312" w:hAnsi="仿宋_GB2312" w:cs="仿宋_GB2312" w:eastAsia="仿宋_GB2312"/>
        </w:rPr>
        <w:t>和</w:t>
      </w:r>
      <w:r>
        <w:rPr>
          <w:rFonts w:ascii="仿宋_GB2312" w:hAnsi="仿宋_GB2312" w:cs="仿宋_GB2312" w:eastAsia="仿宋_GB2312"/>
        </w:rPr>
        <w:t>陕西承瑞祺项目管理咨询有限公司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陕西承瑞祺项目管理咨询有限公司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陕西承瑞祺项目管理咨询有限公司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验收标准按招标文件及国家，行业相关规定执行，以合同、招标文件及投标文件、澄清及国家相应的标准、规范等为依据。</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陕西承瑞祺项目管理咨询有限公司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陕西承瑞祺项目管理咨询有限公司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陕西承瑞祺项目管理咨询有限公司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联系人：李银杰</w:t>
      </w:r>
    </w:p>
    <w:p>
      <w:pPr>
        <w:pStyle w:val="null3"/>
      </w:pPr>
      <w:r>
        <w:rPr>
          <w:rFonts w:ascii="仿宋_GB2312" w:hAnsi="仿宋_GB2312" w:cs="仿宋_GB2312" w:eastAsia="仿宋_GB2312"/>
        </w:rPr>
        <w:t>联系电话：13237119182</w:t>
      </w:r>
    </w:p>
    <w:p>
      <w:pPr>
        <w:pStyle w:val="null3"/>
      </w:pPr>
      <w:r>
        <w:rPr>
          <w:rFonts w:ascii="仿宋_GB2312" w:hAnsi="仿宋_GB2312" w:cs="仿宋_GB2312" w:eastAsia="仿宋_GB2312"/>
        </w:rPr>
        <w:t>地址：陕西省西安市雁塔区丈八一路1号汇鑫中心B座24层2403室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color w:val="0000FF"/>
        </w:rPr>
        <w:t>康复科国家中医康复中心设备采购项目（二次）采购项目，本套设备包括：</w:t>
      </w:r>
      <w:r>
        <w:rPr>
          <w:rFonts w:ascii="仿宋_GB2312" w:hAnsi="仿宋_GB2312" w:cs="仿宋_GB2312" w:eastAsia="仿宋_GB2312"/>
          <w:sz w:val="24"/>
          <w:color w:val="0000FF"/>
        </w:rPr>
        <w:t>采购包</w:t>
      </w:r>
      <w:r>
        <w:rPr>
          <w:rFonts w:ascii="仿宋_GB2312" w:hAnsi="仿宋_GB2312" w:cs="仿宋_GB2312" w:eastAsia="仿宋_GB2312"/>
          <w:sz w:val="24"/>
          <w:color w:val="0000FF"/>
        </w:rPr>
        <w:t>1上肢康复训练机器人1套、上下肢主被动康复训练设备2套</w:t>
      </w:r>
      <w:r>
        <w:rPr>
          <w:rFonts w:ascii="仿宋_GB2312" w:hAnsi="仿宋_GB2312" w:cs="仿宋_GB2312" w:eastAsia="仿宋_GB2312"/>
          <w:sz w:val="24"/>
          <w:color w:val="0000FF"/>
        </w:rPr>
        <w:t>，具体采购内容及要求详见本项目招标文件、答疑文件等文件的全部内容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上肢康复训练机器人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上下肢主被动康复训练设备</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190,000.00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标的名称：上肢康复训练机器人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FF"/>
              </w:rPr>
              <w:t>1.具备主动模式、被动模式、助力模式和主被动模式，主被动模式下，设备应能根据患者运动状态自动切换训练模式；</w:t>
            </w:r>
          </w:p>
          <w:p>
            <w:pPr>
              <w:pStyle w:val="null3"/>
              <w:jc w:val="left"/>
            </w:pPr>
            <w:r>
              <w:rPr>
                <w:rFonts w:ascii="仿宋_GB2312" w:hAnsi="仿宋_GB2312" w:cs="仿宋_GB2312" w:eastAsia="仿宋_GB2312"/>
                <w:sz w:val="24"/>
                <w:color w:val="0000FF"/>
              </w:rPr>
              <w:t>2.训练力度≥50N，允许误差±10％；</w:t>
            </w:r>
          </w:p>
          <w:p>
            <w:pPr>
              <w:pStyle w:val="null3"/>
              <w:jc w:val="left"/>
            </w:pPr>
            <w:r>
              <w:rPr>
                <w:rFonts w:ascii="仿宋_GB2312" w:hAnsi="仿宋_GB2312" w:cs="仿宋_GB2312" w:eastAsia="仿宋_GB2312"/>
                <w:sz w:val="24"/>
                <w:color w:val="0000FF"/>
              </w:rPr>
              <w:t>3.具有多个预定义轨迹，至少包含直线型、米字型、正方形、进阶梯形等；</w:t>
            </w:r>
          </w:p>
          <w:p>
            <w:pPr>
              <w:pStyle w:val="null3"/>
              <w:jc w:val="left"/>
            </w:pPr>
            <w:r>
              <w:rPr>
                <w:rFonts w:ascii="仿宋_GB2312" w:hAnsi="仿宋_GB2312" w:cs="仿宋_GB2312" w:eastAsia="仿宋_GB2312"/>
                <w:sz w:val="24"/>
                <w:color w:val="0000FF"/>
              </w:rPr>
              <w:t>▲4.具备自定义轨迹功能；</w:t>
            </w:r>
          </w:p>
          <w:p>
            <w:pPr>
              <w:pStyle w:val="null3"/>
              <w:jc w:val="left"/>
            </w:pPr>
            <w:r>
              <w:rPr>
                <w:rFonts w:ascii="仿宋_GB2312" w:hAnsi="仿宋_GB2312" w:cs="仿宋_GB2312" w:eastAsia="仿宋_GB2312"/>
                <w:sz w:val="24"/>
                <w:color w:val="0000FF"/>
              </w:rPr>
              <w:t>5.具有被动活动、被动牵伸、抗阻、等长等多种训练类型；</w:t>
            </w:r>
          </w:p>
          <w:p>
            <w:pPr>
              <w:pStyle w:val="null3"/>
              <w:jc w:val="left"/>
            </w:pPr>
            <w:r>
              <w:rPr>
                <w:rFonts w:ascii="仿宋_GB2312" w:hAnsi="仿宋_GB2312" w:cs="仿宋_GB2312" w:eastAsia="仿宋_GB2312"/>
                <w:sz w:val="24"/>
                <w:color w:val="0000FF"/>
              </w:rPr>
              <w:t>6.最大末端停留时长≥10s，调节步距1s，允许误差±10％；</w:t>
            </w:r>
          </w:p>
          <w:p>
            <w:pPr>
              <w:pStyle w:val="null3"/>
              <w:jc w:val="left"/>
            </w:pPr>
            <w:r>
              <w:rPr>
                <w:rFonts w:ascii="仿宋_GB2312" w:hAnsi="仿宋_GB2312" w:cs="仿宋_GB2312" w:eastAsia="仿宋_GB2312"/>
                <w:sz w:val="24"/>
                <w:color w:val="0000FF"/>
              </w:rPr>
              <w:t>▲7.具有测定功能，至少包括：活动范围测定、肌力测定；</w:t>
            </w:r>
          </w:p>
          <w:p>
            <w:pPr>
              <w:pStyle w:val="null3"/>
              <w:jc w:val="left"/>
            </w:pPr>
            <w:r>
              <w:rPr>
                <w:rFonts w:ascii="仿宋_GB2312" w:hAnsi="仿宋_GB2312" w:cs="仿宋_GB2312" w:eastAsia="仿宋_GB2312"/>
                <w:sz w:val="24"/>
                <w:color w:val="0000FF"/>
              </w:rPr>
              <w:t>8.肌力测定范围0～100N，允许误差为±2N或±5%；</w:t>
            </w:r>
          </w:p>
          <w:p>
            <w:pPr>
              <w:pStyle w:val="null3"/>
              <w:jc w:val="left"/>
            </w:pPr>
            <w:r>
              <w:rPr>
                <w:rFonts w:ascii="仿宋_GB2312" w:hAnsi="仿宋_GB2312" w:cs="仿宋_GB2312" w:eastAsia="仿宋_GB2312"/>
                <w:sz w:val="24"/>
                <w:color w:val="0000FF"/>
              </w:rPr>
              <w:t>9.具备患者管理功能，包含患者的新增、修改、删除、搜索功能，并提供默认患者；</w:t>
            </w:r>
          </w:p>
          <w:p>
            <w:pPr>
              <w:pStyle w:val="null3"/>
              <w:jc w:val="left"/>
            </w:pPr>
            <w:r>
              <w:rPr>
                <w:rFonts w:ascii="仿宋_GB2312" w:hAnsi="仿宋_GB2312" w:cs="仿宋_GB2312" w:eastAsia="仿宋_GB2312"/>
                <w:sz w:val="24"/>
                <w:color w:val="0000FF"/>
              </w:rPr>
              <w:t>10.具备计划管理功能，包含计划的新增、修改、删除、搜索，并能新增、修改、删除训练及测定项目；</w:t>
            </w:r>
          </w:p>
          <w:p>
            <w:pPr>
              <w:pStyle w:val="null3"/>
              <w:jc w:val="left"/>
            </w:pPr>
            <w:r>
              <w:rPr>
                <w:rFonts w:ascii="仿宋_GB2312" w:hAnsi="仿宋_GB2312" w:cs="仿宋_GB2312" w:eastAsia="仿宋_GB2312"/>
                <w:sz w:val="24"/>
                <w:color w:val="0000FF"/>
              </w:rPr>
              <w:t>11.具备方案管理功能，能对训练任务中的默认训练参数进行修改，也能提供自定义方案的新增、编辑和删除；</w:t>
            </w:r>
          </w:p>
          <w:p>
            <w:pPr>
              <w:pStyle w:val="null3"/>
              <w:jc w:val="left"/>
            </w:pPr>
            <w:r>
              <w:rPr>
                <w:rFonts w:ascii="仿宋_GB2312" w:hAnsi="仿宋_GB2312" w:cs="仿宋_GB2312" w:eastAsia="仿宋_GB2312"/>
                <w:sz w:val="24"/>
                <w:color w:val="0000FF"/>
              </w:rPr>
              <w:t>12.具备报告管理功能，可进行数据导出，包含统计数据导出、患者报告导出（含批量导出）；</w:t>
            </w:r>
          </w:p>
          <w:p>
            <w:pPr>
              <w:pStyle w:val="null3"/>
              <w:jc w:val="left"/>
            </w:pPr>
            <w:r>
              <w:rPr>
                <w:rFonts w:ascii="仿宋_GB2312" w:hAnsi="仿宋_GB2312" w:cs="仿宋_GB2312" w:eastAsia="仿宋_GB2312"/>
                <w:sz w:val="24"/>
                <w:color w:val="0000FF"/>
              </w:rPr>
              <w:t>13.具备紧急停止功能,按下紧急停止开关后，设备将立即切断电机的动力，并在界面上提示“紧急停止”。紧急停止开关的重置应需手动操作，重置与开启的触发动作应有所不同；</w:t>
            </w:r>
          </w:p>
          <w:p>
            <w:pPr>
              <w:pStyle w:val="null3"/>
            </w:pPr>
            <w:r>
              <w:rPr>
                <w:rFonts w:ascii="仿宋_GB2312" w:hAnsi="仿宋_GB2312" w:cs="仿宋_GB2312" w:eastAsia="仿宋_GB2312"/>
                <w:sz w:val="24"/>
                <w:color w:val="0000FF"/>
              </w:rPr>
              <w:t>▲14.具备痉挛保护功能，当设备监测到患者训练发生痉挛时，设备应停止运行，界面提示“疑似痉挛”并伴有声音；</w:t>
            </w:r>
          </w:p>
        </w:tc>
      </w:tr>
    </w:tbl>
    <w:p>
      <w:pPr>
        <w:pStyle w:val="null3"/>
      </w:pPr>
      <w:r>
        <w:rPr>
          <w:rFonts w:ascii="仿宋_GB2312" w:hAnsi="仿宋_GB2312" w:cs="仿宋_GB2312" w:eastAsia="仿宋_GB2312"/>
        </w:rPr>
        <w:t>标的名称：上下肢主被动康复训练设备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FF"/>
              </w:rPr>
              <w:t>1.具备三种训练模式：被动训练、主动训练、助力训练；</w:t>
            </w:r>
          </w:p>
          <w:p>
            <w:pPr>
              <w:pStyle w:val="null3"/>
              <w:jc w:val="left"/>
            </w:pPr>
            <w:r>
              <w:rPr>
                <w:rFonts w:ascii="仿宋_GB2312" w:hAnsi="仿宋_GB2312" w:cs="仿宋_GB2312" w:eastAsia="仿宋_GB2312"/>
                <w:sz w:val="24"/>
                <w:color w:val="0000FF"/>
              </w:rPr>
              <w:t>2.根据患者运动状态自动切换训练模式，同时也支持手动选择模式；</w:t>
            </w:r>
          </w:p>
          <w:p>
            <w:pPr>
              <w:pStyle w:val="null3"/>
              <w:jc w:val="left"/>
            </w:pPr>
            <w:r>
              <w:rPr>
                <w:rFonts w:ascii="仿宋_GB2312" w:hAnsi="仿宋_GB2312" w:cs="仿宋_GB2312" w:eastAsia="仿宋_GB2312"/>
                <w:sz w:val="24"/>
                <w:color w:val="0000FF"/>
              </w:rPr>
              <w:t>3.上肢训练器可进行水平调整，调整角度为0°～180°；</w:t>
            </w:r>
          </w:p>
          <w:p>
            <w:pPr>
              <w:pStyle w:val="null3"/>
              <w:jc w:val="left"/>
            </w:pPr>
            <w:r>
              <w:rPr>
                <w:rFonts w:ascii="仿宋_GB2312" w:hAnsi="仿宋_GB2312" w:cs="仿宋_GB2312" w:eastAsia="仿宋_GB2312"/>
                <w:sz w:val="24"/>
                <w:color w:val="0000FF"/>
              </w:rPr>
              <w:t>4.电动高度调节，根据不同身高患者调节适合的高度；</w:t>
            </w:r>
          </w:p>
          <w:p>
            <w:pPr>
              <w:pStyle w:val="null3"/>
              <w:jc w:val="left"/>
            </w:pPr>
            <w:r>
              <w:rPr>
                <w:rFonts w:ascii="仿宋_GB2312" w:hAnsi="仿宋_GB2312" w:cs="仿宋_GB2312" w:eastAsia="仿宋_GB2312"/>
                <w:sz w:val="24"/>
                <w:color w:val="0000FF"/>
              </w:rPr>
              <w:t>▲5.上肢训练器高度可调，可调高度≥260mm；</w:t>
            </w:r>
          </w:p>
          <w:p>
            <w:pPr>
              <w:pStyle w:val="null3"/>
              <w:jc w:val="left"/>
            </w:pPr>
            <w:r>
              <w:rPr>
                <w:rFonts w:ascii="仿宋_GB2312" w:hAnsi="仿宋_GB2312" w:cs="仿宋_GB2312" w:eastAsia="仿宋_GB2312"/>
                <w:sz w:val="24"/>
                <w:color w:val="0000FF"/>
              </w:rPr>
              <w:t>6.被动训练速度可调，最大被动速度≥60r/min；</w:t>
            </w:r>
          </w:p>
          <w:p>
            <w:pPr>
              <w:pStyle w:val="null3"/>
              <w:jc w:val="left"/>
            </w:pPr>
            <w:r>
              <w:rPr>
                <w:rFonts w:ascii="仿宋_GB2312" w:hAnsi="仿宋_GB2312" w:cs="仿宋_GB2312" w:eastAsia="仿宋_GB2312"/>
                <w:sz w:val="24"/>
                <w:color w:val="0000FF"/>
              </w:rPr>
              <w:t>7.上/下肢训练器最大输出动力均为20Nm；</w:t>
            </w:r>
          </w:p>
          <w:p>
            <w:pPr>
              <w:pStyle w:val="null3"/>
              <w:jc w:val="left"/>
            </w:pPr>
            <w:r>
              <w:rPr>
                <w:rFonts w:ascii="仿宋_GB2312" w:hAnsi="仿宋_GB2312" w:cs="仿宋_GB2312" w:eastAsia="仿宋_GB2312"/>
                <w:sz w:val="24"/>
                <w:color w:val="0000FF"/>
              </w:rPr>
              <w:t>8.支持上/下肢组合式训练，包括：上肢/下肢同时被动训练；</w:t>
            </w:r>
          </w:p>
          <w:p>
            <w:pPr>
              <w:pStyle w:val="null3"/>
              <w:jc w:val="left"/>
            </w:pPr>
            <w:r>
              <w:rPr>
                <w:rFonts w:ascii="仿宋_GB2312" w:hAnsi="仿宋_GB2312" w:cs="仿宋_GB2312" w:eastAsia="仿宋_GB2312"/>
                <w:sz w:val="24"/>
                <w:color w:val="0000FF"/>
              </w:rPr>
              <w:t>9.训练时能显示肌张力水平、痉挛次数、训练时长、运动速度、运动距离、能量消耗等训练分析信息，在主动、助力训练模式下，应能显示对称性信息；</w:t>
            </w:r>
          </w:p>
          <w:p>
            <w:pPr>
              <w:pStyle w:val="null3"/>
              <w:jc w:val="left"/>
            </w:pPr>
            <w:r>
              <w:rPr>
                <w:rFonts w:ascii="仿宋_GB2312" w:hAnsi="仿宋_GB2312" w:cs="仿宋_GB2312" w:eastAsia="仿宋_GB2312"/>
                <w:sz w:val="24"/>
                <w:color w:val="0000FF"/>
              </w:rPr>
              <w:t>10.提供默认用户及用户信息管理功能，包含患者管理，支持修改姓名、性别、年龄、身高、体重、上肢训练速度、下肢训练速度；</w:t>
            </w:r>
          </w:p>
          <w:p>
            <w:pPr>
              <w:pStyle w:val="null3"/>
              <w:jc w:val="left"/>
            </w:pPr>
            <w:r>
              <w:rPr>
                <w:rFonts w:ascii="仿宋_GB2312" w:hAnsi="仿宋_GB2312" w:cs="仿宋_GB2312" w:eastAsia="仿宋_GB2312"/>
                <w:sz w:val="24"/>
                <w:color w:val="0000FF"/>
              </w:rPr>
              <w:t>11.提供训练计划管理功能，支持人名搜索、程序选择、训练部位选择、执行日期和时刻选择、重复次数选择；</w:t>
            </w:r>
          </w:p>
          <w:p>
            <w:pPr>
              <w:pStyle w:val="null3"/>
              <w:jc w:val="left"/>
            </w:pPr>
            <w:r>
              <w:rPr>
                <w:rFonts w:ascii="仿宋_GB2312" w:hAnsi="仿宋_GB2312" w:cs="仿宋_GB2312" w:eastAsia="仿宋_GB2312"/>
                <w:sz w:val="24"/>
                <w:color w:val="0000FF"/>
              </w:rPr>
              <w:t>12.提供≥3种安全保护，包括痉挛保护，声控急停，磁控急停，手动急停开关；</w:t>
            </w:r>
          </w:p>
          <w:p>
            <w:pPr>
              <w:pStyle w:val="null3"/>
              <w:jc w:val="left"/>
            </w:pPr>
            <w:r>
              <w:rPr>
                <w:rFonts w:ascii="仿宋_GB2312" w:hAnsi="仿宋_GB2312" w:cs="仿宋_GB2312" w:eastAsia="仿宋_GB2312"/>
                <w:sz w:val="24"/>
                <w:color w:val="0000FF"/>
              </w:rPr>
              <w:t>13.触发痉挛保护时，痉挛保护三种可选：同向运动，反向运动和保持停止；</w:t>
            </w:r>
          </w:p>
          <w:p>
            <w:pPr>
              <w:pStyle w:val="null3"/>
              <w:jc w:val="left"/>
            </w:pPr>
            <w:r>
              <w:rPr>
                <w:rFonts w:ascii="仿宋_GB2312" w:hAnsi="仿宋_GB2312" w:cs="仿宋_GB2312" w:eastAsia="仿宋_GB2312"/>
                <w:sz w:val="24"/>
                <w:color w:val="0000FF"/>
              </w:rPr>
              <w:t>▲14.训练时长可设定，最长180min；</w:t>
            </w:r>
          </w:p>
          <w:p>
            <w:pPr>
              <w:pStyle w:val="null3"/>
              <w:jc w:val="left"/>
            </w:pPr>
            <w:r>
              <w:rPr>
                <w:rFonts w:ascii="仿宋_GB2312" w:hAnsi="仿宋_GB2312" w:cs="仿宋_GB2312" w:eastAsia="仿宋_GB2312"/>
                <w:sz w:val="24"/>
                <w:color w:val="0000FF"/>
              </w:rPr>
              <w:t>▲15.最大速度限定值为160 r/min。</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自合同签订之日起30天内到货，并完成安装、调试、培训、验收。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陕西省中医医院指定地点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货物全部交付、安装完毕，经验收合格，甲方收到正式发票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验收标准按招标文件及国家，行业相关规定执行，以合同、招标文件及投标文件、澄清及国家相应的标准、规范等为依据。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自项目验收合格之日起计算，整体项目质保期不少于3年。（1）中标人提供原厂质保承诺函。（2）质保期内，中标人将负责处理并解决故障，负责更换有故障的零部件，不得收取任何费用。质保期内负责上门服务、维修、更换配件，不得收取任何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（1）按《中华人民共和国民法典》中的相关条款执行。（2）供应商未按合同要求的提供产品或设备质量不能满足技术要求，采购人有权终止合同，甚至对乙方违约行为进行追究。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报价要求：供应商在填报投标报价时应综合考虑以下各类价格组成内容，包括但不限于人工费、设备费（主材及辅材）、保险、利润、规费、税金、货物运至最终目的地的运输费、专用工具使用费、伴随货物交运的有关费用等与之相关的一切直接费、间接费。要求的其他相关费用以本招标文件的内容和要求作为投标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供应商为向招标人提供货物及相应服务的法人或其他组织；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供应商提供本单位在开标前6个月已缴纳的至少一个月纳税证明或完税证明，依法免税的单位应提供相关证明材料；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的财务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截止至投标文件递交截止时间之前，供应商未被“信用中国”网站列入失信被执行人及重大税收违法失信主体名单，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应按照现行医疗器械生产及销售的有关法律法规的规定，提供有效的医疗器械相应的生产厂家的医疗器械生产许可证或医疗器械生产备案凭证，并提供全部所投医疗器械的有效医疗器械注册证或医疗器械备案凭证。同时提供供应商合法有效的相应医疗器械经营许可证或医疗器械经营备案凭证；</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供应商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①《关于在政府采购活动中查询及使用信用记录有关问题的通知》（财库〔2016〕125号）； ②《政府采购促进中小企业发展管理办法》（财库〔2020〕46号）、《关于进一步加大政府采购支持中小企业力度的通知》（财库〔2022〕19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③国务院办公厅《关于建立政府强制采购节能产品制度的通知》（国办发〔2007〕51号）、财政部、国家发改委、生态环境部、市监局联合印发《关于调整优化节能产品、环境标志产品政府采购执行机制的通知》（财库〔2019〕9号）； ④《陕西省财政厅关于加快推进我省中小企业政府采购信用融资工作的通知》（陕财办采〔2020〕15号）、陕西省财政厅关于印发《陕西省中小企业政府采购信用融资办法》（陕财办采〔2018〕23号）； ⑤其他需要落实的政府采购政策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评审中出现下列情形之一的，评审委员会应当启动异常低价投标（响应）审查程序：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（4）评审委员会基于专业判断，认为投标人报价过低，有可能影响产品质量或者不能诚信履约的其他情形。  评审委员会启动异常低价投标（响应）审查后，属于前述第（1）项至第（4）项情形的，应当要求相关投标人在30分钟内对投标（响应）价格作出解释，提供项目具体成本测算等与报价合理性相关的书面说明及必要的证明材料，包括但不限于原材料成本、人工成本、制造费用等。其中，属于第（3）项情形，投标人已随投标（响应）文件一并提交相关书面说明及必要的证明材料的，在评审现场可不再重复提交。  投标人提交的相关说明和证明材料，应当加盖投标人（法定名称）公章，在评标委员会要求的时间内进行提交，否则提交的相关证明材料无效。投标（响应）投标人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分项报价清单.docx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分项报价清单.docx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开标一览表 投标函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投标文件是否响应本项目“招标项目技术、服务、商务及其他”中的标记“★”条款</w:t>
            </w:r>
          </w:p>
        </w:tc>
        <w:tc>
          <w:tcPr>
            <w:tcW w:type="dxa" w:w="3322"/>
          </w:tcPr>
          <w:p>
            <w:pPr>
              <w:pStyle w:val="null3"/>
            </w:pPr>
            <w:r>
              <w:rPr>
                <w:rFonts w:ascii="仿宋_GB2312" w:hAnsi="仿宋_GB2312" w:cs="仿宋_GB2312" w:eastAsia="仿宋_GB2312"/>
              </w:rPr>
              <w:t>投标文件响应本项目“招标项目技术、服务、商务及其他”中的标记“★”条款</w:t>
            </w:r>
          </w:p>
        </w:tc>
        <w:tc>
          <w:tcPr>
            <w:tcW w:type="dxa" w:w="1661"/>
          </w:tcPr>
          <w:p>
            <w:pPr>
              <w:pStyle w:val="null3"/>
            </w:pPr>
            <w:r>
              <w:rPr>
                <w:rFonts w:ascii="仿宋_GB2312" w:hAnsi="仿宋_GB2312" w:cs="仿宋_GB2312" w:eastAsia="仿宋_GB2312"/>
              </w:rPr>
              <w:t>产品技术参数表 商务应答表 技术条款响应偏离表.docx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开标一览表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供应商对所投产品技术参数逐条进行明确响应，并提供相关证明材料。 1.带“▲”号技术指标（共6项）每负偏离一项扣1.5分，扣完为止。 2.一般技术指标（共23项）每负偏离一项扣0.5分，扣完为止。 备注：1.证明材料要求：每一项技术参数无论是否为正偏离或负偏离或响应，均应提供相关证明材料。各证明材料中的响应指标应保持一致，若不一致以最不利于技术参数响应的证明材料进行评审，未按要求提供证明材料视为负偏离。 2.投标文件中技术参数响应情况内容必须与证明材料内容一致。如在评审过程中发现不一致时，投标文件填写响应情况为正偏离或无偏离的，而证明材料为负偏离的，则以证明材料内容进行评审；投标文件填写响应情况为负偏离，而证明材料为正偏离或无偏离的。则以响应情况内容进行评审。 3.供应商对所投设备需尽可能多的提供相关技术、功能的证明材料（包括设备技术说明或设备彩页或彩色照片或设备功能证明或官网截图等）予以佐证；供应商自行承担因材料提供不全导致技术参数评审无法赋分的不利风险。如未按照招标要求提供相关证明材料的视为负偏离。 4.供应商需对所提供内容的真实性负责。</w:t>
            </w:r>
          </w:p>
        </w:tc>
        <w:tc>
          <w:tcPr>
            <w:tcW w:type="dxa" w:w="831"/>
          </w:tcPr>
          <w:p>
            <w:pPr>
              <w:pStyle w:val="null3"/>
              <w:jc w:val="right"/>
            </w:pPr>
            <w:r>
              <w:rPr>
                <w:rFonts w:ascii="仿宋_GB2312" w:hAnsi="仿宋_GB2312" w:cs="仿宋_GB2312" w:eastAsia="仿宋_GB2312"/>
              </w:rPr>
              <w:t>20.5000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技术条款响应偏离表.docx</w:t>
            </w:r>
          </w:p>
          <w:p>
            <w:pPr>
              <w:pStyle w:val="null3"/>
            </w:pPr>
            <w:r>
              <w:rPr>
                <w:rFonts w:ascii="仿宋_GB2312" w:hAnsi="仿宋_GB2312" w:cs="仿宋_GB2312" w:eastAsia="仿宋_GB2312"/>
              </w:rPr>
              <w:t>分项报价清单.docx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 1.供应商提供针对本项目的总体实施方案进行评审，包括：①供货安装方案；②调试方案；③验收方案；④维护方案；⑤售后服务方案。 二、评审标准： 1.完整性:方案必须全面，对评审内容中的各项要求有详细描述; 2.可实施性:切合本项目实际情况，提出步骤清晰、合理的方案; 3.针对性:方案能够紧扣项目实际情况，内容科学合理。 三、赋分标准: 1.供货安装方案:每完全满足一个评审标准得1分,满分3分； 2.调试方案:每完全满足一个评审标准得1分,满分3分； 3.验收方案:每完全满足一个评审标准得1分,满分3分； 4.维护方案:每完全满足一个评审标准得1分,满分3分； 5.售后服务方案:每完全满足一个评审标准得1分,满分3分。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设备来源</w:t>
            </w:r>
          </w:p>
        </w:tc>
        <w:tc>
          <w:tcPr>
            <w:tcW w:type="dxa" w:w="2492"/>
          </w:tcPr>
          <w:p>
            <w:pPr>
              <w:pStyle w:val="null3"/>
            </w:pPr>
            <w:r>
              <w:rPr>
                <w:rFonts w:ascii="仿宋_GB2312" w:hAnsi="仿宋_GB2312" w:cs="仿宋_GB2312" w:eastAsia="仿宋_GB2312"/>
              </w:rPr>
              <w:t>供应商提供所投产品合法来源渠道证明文件（销售协议或代理协议等相关证明资料）。所提供的证明材料完整，链条清晰，计2分，证明材料不完整或未提供的不计分。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1.供应商提供针对本项目的质量保证措施进行评审，包括：①对产品打包、装卸的保护措施；②运输过程中对产品的保护措施、安装调试过程中对产品的保护措施；③售后人员配置及售后服务方案。 二、评审标准： 1.完整性:方案必须全面，对评审内容中的各项要求有详细描述; 2.可实施性:切合本项目实际情况，提出步骤清晰、合理的方案; 3.针对性:方案能够紧扣项目实际情况，内容科学合理。 三、赋分标准: 1.对产品打包、装卸的保护措施:每完全满足一个评审标准得1分,满分3分； 2.运输过程中对产品的保护措施、安装调试过程中对产品的保护措施:每完全满足一个评审标准得1分,满分3分； 3. 售后人员配置及售后服务方案:每完全满足一个评审标准得1分,满分3分。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一、评审内容： 1.供应商提供针对本项目的应急事故响应及处理方案进行评审，包括：①可能发生的应急事故情况分析；②应急响应时间；③紧急安全保障措施。 二、评审标准： 1.完整性:方案必须全面，对评审内容中的各项要求有详细描述; 2.可实施性:切合本项目实际情况，提出步骤清晰、合理的方案; 3.针对性:方案能够紧扣项目实际情况，内容科学合理。 三、赋分标准: 1.可能发生的应急事故情况分析:每完全满足一个评审标准得1分,满分3分； 2.应急响应时间:每完全满足一个评审标准得1分,满分3分； 3.紧急安全保障措施:每完全满足一个评审标准得1分,满分3分。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1.供应商提供针对本项目的培训方案进行评审，包括：①培训课程计划；②设备操作演示与练习、故障模拟与排除演练；③设备维护与保养实操。 二、评审标准： 1.完整性:方案必须全面，对评审内容中的各项要求有详细描述; 2.可实施性:切合本项目实际情况，提出步骤清晰、合理的方案; 3.针对性:方案能够紧扣项目实际情况，内容科学合理。 三、赋分标准: 1.培训课程计划:每完全满足一个评审标准得0.5分,满分1.5分； 2.设备操作演示与练习、故障模拟与排除演练:每完全满足一个评审标准得0.5分,满分1.5分； 3.设备维护与保养实操:每完全满足一个评审标准得0.5分,满分1.5分。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提供供应商或产品生产厂商2023年3月1日至今所投产品项目合同（以合同签订日期为准，需提供复印件），每提供1个得1分，最高得5分。 注:所投产品项目合同是指投标人所提供的合同中应至少包含本项目所投包段标的中的一种。</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满足招标文件要求且投标价格最低的投标报价为评标基准价，其价格分为满分（35分）。其他供应商的价格分统一按照下列公式计算：投标报价得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详见附件：第七章 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