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版本号：SZT2026-SN-SC-ZC-HW-017320260316001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多相流计量实验系统采购项目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SZT2026-SN-SC-ZC-HW-0173</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多相流计量实验系统采购项目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SZT2026-SN-SC-ZC-HW-0173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多相流计量实验系统采购项目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多相流计量实验系统采购：本项目是西安石油大学极端条件下天然气管道输送与流动安全保障实验子平台的重要部分，系统主要用于模拟、监测和分析油、气、水等多相流体流动特性，能够精确控制和监测单相流体的流量、压力和温度等参数，模拟多相混合流体在管道内的真实流动状态，实时测量多相流体的流型、相含率、气液相时空分布等关键参数，可用于高水平油气储运专业本、硕、学生的理论教学、前沿技术认识及专业技能培养，以及为多相流量计、流型识别仪和多相流致振动控制系统的研制、测试和标定提供关键技术支撑。</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供应商应授权合法的人员参加投标，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pPr>
        <w:pStyle w:val="null3"/>
      </w:pPr>
      <w:r>
        <w:rPr>
          <w:rFonts w:ascii="仿宋_GB2312" w:hAnsi="仿宋_GB2312" w:cs="仿宋_GB2312" w:eastAsia="仿宋_GB2312"/>
        </w:rPr>
        <w:t>2、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西安石油大学经办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029-88382832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肖娇娇、李文俊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029-87304306-848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开户名称：陕西中技招标有限公司（向我公司转账时，请备注清楚项目编号后四位及包号）</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说明：1.合同签订前，中标人须向采购人提交合同总价的5.0%作为履约保证金；2.产品交付并由采购人验收合格后，中标人申请，采购人将履约保证金（无息）退还中标人。</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同意代理机构的招标代理服务费参见国家计委颁布的《招标代理服务收费管理暂行办法》（计价格[2002]1980号）和（发改办价格[2011]534号）货物类收费标准，按照中标金额差额定率累进法下浮10%计算。不足陆仟元按陆仟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西安石油大学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 2、合同及附件文本； 3、国家相应的标准、规范。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多相流计量实验系统采购：本项目是西安石油大学极端条件下天然气管道输送与流动安全保障实验子平台的重要部分，系统主要用于模拟、监测和分析油、气、水等多相流体流动特性，能够精确控制和监测单相流体的流量、压力和温度等参数，模拟多相混合流体在管道内的真实流动状态，实时测量多相流体的流型、相含率、气液相时空分布等关键参数，可用于高水平油气储运专业本、硕、学生的理论教学、前沿技术认识及专业技能培养，以及为多相流量计、流型识别仪和多相流致振动控制系统的研制、测试和标定提供关键技术支撑。</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多相流计量实验系统采购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标的名称：多相流计量实验系统采购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93"/>
              <w:gridCol w:w="208"/>
              <w:gridCol w:w="1952"/>
            </w:tblGrid>
            <w:tr>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参数性质</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技术参数与性能指标</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系统形式为钢制撬装，可整体运输、吊装，系统预留外接水和强弱点接口，整体轮廓尺寸</w:t>
                  </w:r>
                  <w:r>
                    <w:rPr>
                      <w:rFonts w:ascii="仿宋_GB2312" w:hAnsi="仿宋_GB2312" w:cs="仿宋_GB2312" w:eastAsia="仿宋_GB2312"/>
                      <w:sz w:val="21"/>
                    </w:rPr>
                    <w:t>≤10m*3.0m*2.0m（长、宽、高）</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系统设计压力：</w:t>
                  </w:r>
                  <w:r>
                    <w:rPr>
                      <w:rFonts w:ascii="仿宋_GB2312" w:hAnsi="仿宋_GB2312" w:cs="仿宋_GB2312" w:eastAsia="仿宋_GB2312"/>
                      <w:sz w:val="21"/>
                    </w:rPr>
                    <w:t>≥20 MPa，设计温度：-20-100℃（可根据后续设计调整），材料：304不锈钢，撬装框架、安装支撑可采用碳钢结构，需做防锈处理，配备含控制面板和物理按钮的强弱电控制柜。</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动力系统工质：介质：空气、水、粘性油，输出压力：</w:t>
                  </w:r>
                  <w:r>
                    <w:rPr>
                      <w:rFonts w:ascii="仿宋_GB2312" w:hAnsi="仿宋_GB2312" w:cs="仿宋_GB2312" w:eastAsia="仿宋_GB2312"/>
                      <w:sz w:val="21"/>
                    </w:rPr>
                    <w:t>0.5-4Mpa（可调），配套能够维持设计最大稳定流量下的空压机储气罐，配套能够维持设计流量维持时间的泵（配变频器）、泵入口缓冲罐、过滤器，配套用于调节压力流量的电控、阀门控制组件。</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动力系统输出流量：气相</w:t>
                  </w:r>
                  <w:r>
                    <w:rPr>
                      <w:rFonts w:ascii="仿宋_GB2312" w:hAnsi="仿宋_GB2312" w:cs="仿宋_GB2312" w:eastAsia="仿宋_GB2312"/>
                      <w:sz w:val="21"/>
                    </w:rPr>
                    <w:t>≥85 m</w:t>
                  </w:r>
                  <w:r>
                    <w:rPr>
                      <w:rFonts w:ascii="仿宋_GB2312" w:hAnsi="仿宋_GB2312" w:cs="仿宋_GB2312" w:eastAsia="仿宋_GB2312"/>
                      <w:sz w:val="21"/>
                      <w:vertAlign w:val="superscript"/>
                    </w:rPr>
                    <w:t>3</w:t>
                  </w:r>
                  <w:r>
                    <w:rPr>
                      <w:rFonts w:ascii="仿宋_GB2312" w:hAnsi="仿宋_GB2312" w:cs="仿宋_GB2312" w:eastAsia="仿宋_GB2312"/>
                      <w:sz w:val="21"/>
                    </w:rPr>
                    <w:t>/h（可调），液相≥10 m</w:t>
                  </w:r>
                  <w:r>
                    <w:rPr>
                      <w:rFonts w:ascii="仿宋_GB2312" w:hAnsi="仿宋_GB2312" w:cs="仿宋_GB2312" w:eastAsia="仿宋_GB2312"/>
                      <w:sz w:val="21"/>
                      <w:vertAlign w:val="superscript"/>
                    </w:rPr>
                    <w:t>3</w:t>
                  </w:r>
                  <w:r>
                    <w:rPr>
                      <w:rFonts w:ascii="仿宋_GB2312" w:hAnsi="仿宋_GB2312" w:cs="仿宋_GB2312" w:eastAsia="仿宋_GB2312"/>
                      <w:sz w:val="21"/>
                    </w:rPr>
                    <w:t>/h（可调）。</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仪表系统所有直接接触仪表耐压：</w:t>
                  </w:r>
                  <w:r>
                    <w:rPr>
                      <w:rFonts w:ascii="仿宋_GB2312" w:hAnsi="仿宋_GB2312" w:cs="仿宋_GB2312" w:eastAsia="仿宋_GB2312"/>
                      <w:sz w:val="21"/>
                    </w:rPr>
                    <w:t>≥20MPa，所有直接接触仪表耐温：-20-100℃。</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压力计：高压压力变送器（量程</w:t>
                  </w:r>
                  <w:r>
                    <w:rPr>
                      <w:rFonts w:ascii="仿宋_GB2312" w:hAnsi="仿宋_GB2312" w:cs="仿宋_GB2312" w:eastAsia="仿宋_GB2312"/>
                      <w:sz w:val="21"/>
                    </w:rPr>
                    <w:t>0-20MPa，精度≤0.50％）≥2个，中压压力变送器（量程0-2MPa，采样频率≥1kHz，精度≤0.10％）≥3个，低压压力变送器（量程0-200kPa，采样频率≥1kHz，精度≤0.10％）≥5个。</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指针压力表：量程</w:t>
                  </w:r>
                  <w:r>
                    <w:rPr>
                      <w:rFonts w:ascii="仿宋_GB2312" w:hAnsi="仿宋_GB2312" w:cs="仿宋_GB2312" w:eastAsia="仿宋_GB2312"/>
                      <w:sz w:val="21"/>
                    </w:rPr>
                    <w:t>0-20MPa≥2个，量程0-5MPa≥5个；温度计：热电偶5个（量程-50-200℃，精度≤0.5％）。</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压差计：压差变送器</w:t>
                  </w:r>
                  <w:r>
                    <w:rPr>
                      <w:rFonts w:ascii="仿宋_GB2312" w:hAnsi="仿宋_GB2312" w:cs="仿宋_GB2312" w:eastAsia="仿宋_GB2312"/>
                      <w:sz w:val="21"/>
                    </w:rPr>
                    <w:t>4个（2个量程0-25kPa，2个量程0-10kPa，精度≤0.05％，含表头数显，量程范围内可调），配备三阀组≥4个。</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流量计：液路流量计</w:t>
                  </w:r>
                  <w:r>
                    <w:rPr>
                      <w:rFonts w:ascii="仿宋_GB2312" w:hAnsi="仿宋_GB2312" w:cs="仿宋_GB2312" w:eastAsia="仿宋_GB2312"/>
                      <w:sz w:val="21"/>
                    </w:rPr>
                    <w:t>：量程150 kg/min,，精度0.15%；气路流量计：量程2.0 kg/min，精度0.5%；气路流量计：量程0.5 kg/min，精度0.5%；所有流量计含表头数显，量程及零点可调，可远程监控。</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振动和力传感器：振动传感器</w:t>
                  </w:r>
                  <w:r>
                    <w:rPr>
                      <w:rFonts w:ascii="仿宋_GB2312" w:hAnsi="仿宋_GB2312" w:cs="仿宋_GB2312" w:eastAsia="仿宋_GB2312"/>
                      <w:sz w:val="21"/>
                    </w:rPr>
                    <w:t>≥2个（量程1000g， 采样频率≥1kHz，灵敏度≤1 pC/ms^-2），力传感器≥2个（量程2000N，采样频率≥1kHz，灵敏度≤2.2 mV/N）。所有传感器含连接线缆，可远程监控。</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数据采集装置：采集通道</w:t>
                  </w:r>
                  <w:r>
                    <w:rPr>
                      <w:rFonts w:ascii="仿宋_GB2312" w:hAnsi="仿宋_GB2312" w:cs="仿宋_GB2312" w:eastAsia="仿宋_GB2312"/>
                      <w:sz w:val="21"/>
                    </w:rPr>
                    <w:t>≥30个，采集压力、压差、温度、流量、振动、应力信号，单通道采样频率≥1kHz；满足同步测量，具备必要线缆、采集程序、采集终端（含主机、显示、数据采集和处理程序、必要外设）。</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管道系统工作流程：单相气、液经计量后进入混合器流经测量管路，在分离器内分离后气体外排，液体返回储存箱，设计压力：</w:t>
                  </w:r>
                  <w:r>
                    <w:rPr>
                      <w:rFonts w:ascii="仿宋_GB2312" w:hAnsi="仿宋_GB2312" w:cs="仿宋_GB2312" w:eastAsia="仿宋_GB2312"/>
                      <w:sz w:val="21"/>
                    </w:rPr>
                    <w:t>20MPa，</w:t>
                  </w:r>
                </w:p>
                <w:p>
                  <w:pPr>
                    <w:pStyle w:val="null3"/>
                    <w:jc w:val="both"/>
                  </w:pPr>
                  <w:r>
                    <w:rPr>
                      <w:rFonts w:ascii="仿宋_GB2312" w:hAnsi="仿宋_GB2312" w:cs="仿宋_GB2312" w:eastAsia="仿宋_GB2312"/>
                      <w:sz w:val="21"/>
                    </w:rPr>
                    <w:t>设计温度：</w:t>
                  </w:r>
                  <w:r>
                    <w:rPr>
                      <w:rFonts w:ascii="仿宋_GB2312" w:hAnsi="仿宋_GB2312" w:cs="仿宋_GB2312" w:eastAsia="仿宋_GB2312"/>
                      <w:sz w:val="21"/>
                    </w:rPr>
                    <w:t>-20-100℃。管道内径约25mm，具备系统正常使用的调节阀、止回阀、排气阀、排污阀、压力安全阀等。</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水箱</w:t>
                  </w:r>
                  <w:r>
                    <w:rPr>
                      <w:rFonts w:ascii="仿宋_GB2312" w:hAnsi="仿宋_GB2312" w:cs="仿宋_GB2312" w:eastAsia="仿宋_GB2312"/>
                      <w:sz w:val="21"/>
                    </w:rPr>
                    <w:t>/油箱：≥1套，气液混合器：≥1套，分离器：≥1套，耐压≥2MPa。</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实验装置设计压力：</w:t>
                  </w:r>
                  <w:r>
                    <w:rPr>
                      <w:rFonts w:ascii="仿宋_GB2312" w:hAnsi="仿宋_GB2312" w:cs="仿宋_GB2312" w:eastAsia="仿宋_GB2312"/>
                      <w:sz w:val="21"/>
                    </w:rPr>
                    <w:t>0.5、2.0 MPa（不同压力对照组），设计温度：-20-100℃，实验装置与管道接口：法兰连接。</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高精度控制阀：</w:t>
                  </w:r>
                  <w:r>
                    <w:rPr>
                      <w:rFonts w:ascii="仿宋_GB2312" w:hAnsi="仿宋_GB2312" w:cs="仿宋_GB2312" w:eastAsia="仿宋_GB2312"/>
                      <w:sz w:val="21"/>
                    </w:rPr>
                    <w:t>≥2个，内径约25mm，行程开度0~100%，远程控制，耐压≥2MPa，控制时间≤10s。</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多相流量计：结构形式</w:t>
                  </w:r>
                  <w:r>
                    <w:rPr>
                      <w:rFonts w:ascii="仿宋_GB2312" w:hAnsi="仿宋_GB2312" w:cs="仿宋_GB2312" w:eastAsia="仿宋_GB2312"/>
                      <w:sz w:val="21"/>
                    </w:rPr>
                    <w:t>≥4种，两端法兰封头，直径约25mm，长度≤2.0 m，每种结构管道测点布置≥2个。</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可视化视窗：耐压</w:t>
                  </w:r>
                  <w:r>
                    <w:rPr>
                      <w:rFonts w:ascii="仿宋_GB2312" w:hAnsi="仿宋_GB2312" w:cs="仿宋_GB2312" w:eastAsia="仿宋_GB2312"/>
                      <w:sz w:val="21"/>
                    </w:rPr>
                    <w:t>≥2.0 MPa，外部平行布置视窗，单个尺寸≥10个通道直径，无色透光，可更换，可配合PIV/PDA使用，另配等长的耐压≥20 MPa不锈钢替换段。</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水下管道振动测量装置：可视化水箱体积</w:t>
                  </w:r>
                  <w:r>
                    <w:rPr>
                      <w:rFonts w:ascii="仿宋_GB2312" w:hAnsi="仿宋_GB2312" w:cs="仿宋_GB2312" w:eastAsia="仿宋_GB2312"/>
                      <w:sz w:val="21"/>
                    </w:rPr>
                    <w:t>≥1.0m</w:t>
                  </w:r>
                  <w:r>
                    <w:rPr>
                      <w:rFonts w:ascii="仿宋_GB2312" w:hAnsi="仿宋_GB2312" w:cs="仿宋_GB2312" w:eastAsia="仿宋_GB2312"/>
                      <w:sz w:val="21"/>
                      <w:vertAlign w:val="superscript"/>
                    </w:rPr>
                    <w:t>3</w:t>
                  </w:r>
                  <w:r>
                    <w:rPr>
                      <w:rFonts w:ascii="仿宋_GB2312" w:hAnsi="仿宋_GB2312" w:cs="仿宋_GB2312" w:eastAsia="仿宋_GB2312"/>
                      <w:sz w:val="21"/>
                    </w:rPr>
                    <w:t>，耐压</w:t>
                  </w:r>
                  <w:r>
                    <w:rPr>
                      <w:rFonts w:ascii="仿宋_GB2312" w:hAnsi="仿宋_GB2312" w:cs="仿宋_GB2312" w:eastAsia="仿宋_GB2312"/>
                      <w:sz w:val="21"/>
                    </w:rPr>
                    <w:t>≥1.0 MPa，水下管道可便捷拆卸更换，配备水下管道浮式结构，管道测点布置≥4个。</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交货时间为本合同生效后100天内到货并安装调试交付使用。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西安石油大学指定地点(交货前与采购方约定)</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合同签订后，供应商开具全额银行保函，采购人收到银行保函正本后，一次性付清合同货款，待货物到达指定地点、安装调试验收合格后，采购人退还银行保函。</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质保期自学校验收合格之日起3年。 售后服务效率要求：7*24即时响应（包括电话响应）；电话响应无法解决时，24小时内到达现场。 修复时间48小时内；如48小时内无法修复，应提供相应解决方案。 技术服务： 1. 设备安装、调试和验收 2.卖方应在合同生效后的1周内向用户提供详细的设计方案并提供技术咨询。 3. 仪器到达用户所在地，在接到用户通知后1周内进行安装调试，直至通过验收。 4. 技术培训：在用户所在地对用户进行为期1周的培训。培训内容包括仪器的技术原理、操作、数据处理、基本维护、软件操作等。 5. 保修期：卖方提供3年的免费保修，保修期自仪器验收签字之日起计算。保修期间维修及零件更换费用由厂家负担。 质保期内，免费提供一次移机（含安装、调试）服务。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1.培训要求：供应商应在货物交付后开展不少于3场次的应用培训。 2.报价要求：（1）供应商应当根据采购文件的要求和范围，以人民币为货币，以元为报价单位。（2）报价：投标报价是指到达使用地点、验收合格达到正常使用条件前的所有费用，包括但不限于以下费用：货物价值、安装调试费、国内运杂费（含保险）、仓储保管费、技术培训费、检测费、施工费、人工费等全部相关费用； 3.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xiaojiaojiao@sxzjtc.com（邮件命名：项目编号）。保函必须由具有开具投标保函资格的单位开具；若供应商违约，开具保函单位承担连带责任； 4、落实政府采购政策《国务院办公厅关于在政府采购中实施本国产品标准及相关政策的通知国办发〔2025〕34号》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5.为保证评审工作顺利进行，供应商需要在线提交所有通过电子化交易平台实施的政府采购项目的投标文件，同时，线下提交投标文件正本 壹 份、副本 壹 份（双面打印）。若系统电子投标文件与纸质投标文件不一致的，以系统电子投标文件为准。 6、定标环节采购人有权对投标文件承诺响应的内容进行复核，如有虚假响应，一经发现，取消成交资格并上报财政主管部门，列入政府采购黑名单。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1、供应商为合法注册的法人、其他组织或自然人，具有独立承担民事责任的能力，提供具有统一社会信用代码证的营业执照（或事业单位法人证），供应商为自然人的提供身份证； 2、供应商提供2024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 3、提供具有履行本合同所必需专业技术能力的说明及承诺； 4、税收缴纳证明：提供开标截止时间前12个月内以来任意一个月的依法缴纳税收的相关凭据（时间以税款所属日期为准），凭据应有税务机关或代收机关的公章或业务专用章。依法免税或无须缴纳税收的供应商应提供相应证明文件； 5、社会保障资金缴纳证明：提供开标截止时间前12个月内任意一个月的社会保障资金缴存单据或社保机构开具的社会保险参保缴费情况证明。依法不需要缴纳社会保障资金的供应商应提供相关文件证明；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投标，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资格响应表.docx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交货时间为本合同生效后100天内到货并安装调试交付使用。</w:t>
            </w:r>
          </w:p>
        </w:tc>
        <w:tc>
          <w:tcPr>
            <w:tcW w:type="dxa" w:w="1661"/>
          </w:tcPr>
          <w:p>
            <w:pPr>
              <w:pStyle w:val="null3"/>
            </w:pPr>
            <w:r>
              <w:rPr>
                <w:rFonts w:ascii="仿宋_GB2312" w:hAnsi="仿宋_GB2312" w:cs="仿宋_GB2312" w:eastAsia="仿宋_GB2312"/>
              </w:rPr>
              <w:t>开标一览表及分项报价表.docx 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自学校验收合格之日起3年，质保期内，免费提供一次移机（含安装、调试）服务。</w:t>
            </w:r>
          </w:p>
        </w:tc>
        <w:tc>
          <w:tcPr>
            <w:tcW w:type="dxa" w:w="1661"/>
          </w:tcPr>
          <w:p>
            <w:pPr>
              <w:pStyle w:val="null3"/>
            </w:pPr>
            <w:r>
              <w:rPr>
                <w:rFonts w:ascii="仿宋_GB2312" w:hAnsi="仿宋_GB2312" w:cs="仿宋_GB2312" w:eastAsia="仿宋_GB2312"/>
              </w:rPr>
              <w:t>开标一览表及分项报价表.docx 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合同签订后，供应商开具全额银行保函，采购人收到银行保函正本后，一次性付清合同货款，待货物到达指定地点、安装调试验收合格后，采购人退还银行保函。</w:t>
            </w:r>
          </w:p>
        </w:tc>
        <w:tc>
          <w:tcPr>
            <w:tcW w:type="dxa" w:w="1661"/>
          </w:tcPr>
          <w:p>
            <w:pPr>
              <w:pStyle w:val="null3"/>
            </w:pPr>
            <w:r>
              <w:rPr>
                <w:rFonts w:ascii="仿宋_GB2312" w:hAnsi="仿宋_GB2312" w:cs="仿宋_GB2312" w:eastAsia="仿宋_GB2312"/>
              </w:rPr>
              <w:t>开标一览表及分项报价表.docx 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 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w:t>
            </w:r>
          </w:p>
        </w:tc>
        <w:tc>
          <w:tcPr>
            <w:tcW w:type="dxa" w:w="3322"/>
          </w:tcPr>
          <w:p>
            <w:pPr>
              <w:pStyle w:val="null3"/>
            </w:pPr>
            <w:r>
              <w:rPr>
                <w:rFonts w:ascii="仿宋_GB2312" w:hAnsi="仿宋_GB2312" w:cs="仿宋_GB2312" w:eastAsia="仿宋_GB2312"/>
              </w:rPr>
              <w:t>参数需求带“★”的参数需求为实质性要求，供应商响应并满足参数需求，提供证明材料</w:t>
            </w:r>
          </w:p>
        </w:tc>
        <w:tc>
          <w:tcPr>
            <w:tcW w:type="dxa" w:w="1661"/>
          </w:tcPr>
          <w:p>
            <w:pPr>
              <w:pStyle w:val="null3"/>
            </w:pPr>
            <w:r>
              <w:rPr>
                <w:rFonts w:ascii="仿宋_GB2312" w:hAnsi="仿宋_GB2312" w:cs="仿宋_GB2312" w:eastAsia="仿宋_GB2312"/>
              </w:rPr>
              <w:t>“★”参数条款证明材料.docx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开标一览表及分项报价表.docx 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招标文件要求认真审核投标文件中技术参数响应和提供的佐证材料。投标产品的基本功能、产品技术参数和配置完全满足或优于招标文件要求的，得满分30分；“▲”参数每负偏离一项扣3分，未带标识参数每负偏离一项扣1.2分。 备注：▲号参数必须提供佐证材料（不限于产品彩页、检测报告、功能截图等），未提供佐证材料或提供的佐证材料无法证明或低于招标要求时按负偏离处理。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既为节能产品又是环境标志产品得1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针对本项目提供具体的实施方案，方案内容至少包含：1、总体实施方案；2、计划进度安排；3、项目团队配备；4、供货组织安排；5、安装调试验收方案。 方案内容完整全面，项目执行与项目进度安排、项目验收流程控制明确务实、实践性与可行性强；每有一项缺项扣1.6分，每有一处内容存在缺陷，扣0.4分，扣完为止。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全生命周期方案</w:t>
            </w:r>
          </w:p>
        </w:tc>
        <w:tc>
          <w:tcPr>
            <w:tcW w:type="dxa" w:w="2492"/>
          </w:tcPr>
          <w:p>
            <w:pPr>
              <w:pStyle w:val="null3"/>
            </w:pPr>
            <w:r>
              <w:rPr>
                <w:rFonts w:ascii="仿宋_GB2312" w:hAnsi="仿宋_GB2312" w:cs="仿宋_GB2312" w:eastAsia="仿宋_GB2312"/>
              </w:rPr>
              <w:t>供应商提供全生命周期方案，至少包含：1、全生命周期的扩展性和延续性；2、硬件与软件的适配性，项目耗材、维护成本等。 方案内容完整全面、有针对性，科学合理可实施性强；每有一项缺项扣1.5分，每有一处内容存在缺陷，扣0.5分，扣完为止。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根据项目实际需求，提供质量保证方案。内容包含：1、产品性能、使用寿命及效果；2、质量保证措施。 方案内容完整全面，产品性能完善、使用寿命长，使用效果好。每有一项缺项扣2分，每有一处内容存在缺陷，扣0.5分，扣完为止。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针对本项目有具体的售后服务方案，内容至少包含：1、售后服务网点的设定、日常维护保养；2、项目交付用户后出现故障响应时间及措施；3、备品备件、耗材及时更换的服务内容。 方案内容完整全面，出现故障响应时间及时，响应措施完善；每有一项缺项扣2分，每有一处内容存在缺陷，扣0.5分，扣完为止。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供应商针对本项目提出具体的培训方案，方案内容至少包含：1、培训时间、培训人数、培训方式；2、培训内容应包括所提供产品的原理和技术性能、操作维护方法、安装调试、排除故障等各个方面。 方案内容完整，培训方式多样、培训内容涵盖全面；每有一项缺项扣1.5分，每有一处内容存在缺陷，扣0.5分，扣完为止。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实施方案、人员表及供应商认为有必要提供的其他内容.docx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提供供应商2022年1月1日至今同类项目业绩（以合同签订日期为准）及对应发票。每提供1份得1分，最高得5分。 备注：提供合同复印件（以合同签订日期为准）及发票。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详见附件：“★”参数条款证明材料.docx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详见附件：实施方案、人员表及供应商认为有必要提供的其他内容.docx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详见附件：开标一览表及分项报价表.docx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