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版本号：SZT2026-SN-SC-ZC-HW-017420260316001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失效构件结构数据采集及三维重构系统采购项目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SZT2026-SN-SC-ZC-HW-0174</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失效构件结构数据采集及三维重构系统采购项目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SZT2026-SN-SC-ZC-HW-0174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失效构件结构数据采集及三维重构系统采购项目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失效构件结构数据采集及三维重构系统采购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加投标，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王馨、李文俊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029-87304306-807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开户名称：陕西中技招标有限公司（转账备注项目编号后四位数字及包号）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说明：1.合同签订前，中标人须向采购人提交合同总价的5.0%作为履约保证金；2.产品交付并由采购人验收合格后，中标人申请，采购人将履约保证金（无息）退还中标人。</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同意代理机构的招标代理服务费参见国家计委颁布的《招标代理服务收费管理暂行办法》（计价格[2002]1980号）和（发改办价格[2011]534号）货物类收费标准，按照中标金额差额定率累进法下浮10%计算（不足人民币伍仟元按伍仟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戴工</w:t>
      </w:r>
    </w:p>
    <w:p>
      <w:pPr>
        <w:pStyle w:val="null3"/>
      </w:pPr>
      <w:r>
        <w:rPr>
          <w:rFonts w:ascii="仿宋_GB2312" w:hAnsi="仿宋_GB2312" w:cs="仿宋_GB2312" w:eastAsia="仿宋_GB2312"/>
        </w:rPr>
        <w:t>联系电话：029-87304306-856</w:t>
      </w:r>
    </w:p>
    <w:p>
      <w:pPr>
        <w:pStyle w:val="null3"/>
      </w:pPr>
      <w:r>
        <w:rPr>
          <w:rFonts w:ascii="仿宋_GB2312" w:hAnsi="仿宋_GB2312" w:cs="仿宋_GB2312" w:eastAsia="仿宋_GB2312"/>
        </w:rPr>
        <w:t>地址：西安市高新四路1号高科广场A座10楼1001室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失效构件结构数据采集及三维重构系统采购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失效构件结构数据采集及三维重构系统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标的名称：失效构件结构数据采集及三维重构系统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37"/>
              <w:gridCol w:w="268"/>
              <w:gridCol w:w="1948"/>
            </w:tblGrid>
            <w:tr>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参数性质</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技术参数与性能指标</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扫描速率</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,500,000</w:t>
                  </w:r>
                  <w:r>
                    <w:rPr>
                      <w:rFonts w:ascii="仿宋_GB2312" w:hAnsi="仿宋_GB2312" w:cs="仿宋_GB2312" w:eastAsia="仿宋_GB2312"/>
                      <w:sz w:val="19"/>
                    </w:rPr>
                    <w:t>次</w:t>
                  </w:r>
                  <w:r>
                    <w:rPr>
                      <w:rFonts w:ascii="仿宋_GB2312" w:hAnsi="仿宋_GB2312" w:cs="仿宋_GB2312" w:eastAsia="仿宋_GB2312"/>
                      <w:sz w:val="19"/>
                    </w:rPr>
                    <w:t>/</w:t>
                  </w:r>
                  <w:r>
                    <w:rPr>
                      <w:rFonts w:ascii="仿宋_GB2312" w:hAnsi="仿宋_GB2312" w:cs="仿宋_GB2312" w:eastAsia="仿宋_GB2312"/>
                      <w:sz w:val="19"/>
                    </w:rPr>
                    <w:t>秒</w:t>
                  </w:r>
                  <w:r>
                    <w:rPr>
                      <w:rFonts w:ascii="仿宋_GB2312" w:hAnsi="仿宋_GB2312" w:cs="仿宋_GB2312" w:eastAsia="仿宋_GB2312"/>
                      <w:sz w:val="19"/>
                    </w:rPr>
                    <w:t>；</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单幅扫描区域</w:t>
                  </w:r>
                  <w:r>
                    <w:rPr>
                      <w:rFonts w:ascii="仿宋_GB2312" w:hAnsi="仿宋_GB2312" w:cs="仿宋_GB2312" w:eastAsia="仿宋_GB2312"/>
                      <w:sz w:val="19"/>
                    </w:rPr>
                    <w:t>≤</w:t>
                  </w:r>
                  <w:r>
                    <w:rPr>
                      <w:rFonts w:ascii="仿宋_GB2312" w:hAnsi="仿宋_GB2312" w:cs="仿宋_GB2312" w:eastAsia="仿宋_GB2312"/>
                      <w:sz w:val="19"/>
                    </w:rPr>
                    <w:t>200mm</w:t>
                  </w:r>
                  <w:r>
                    <w:rPr>
                      <w:rFonts w:ascii="仿宋_GB2312" w:hAnsi="仿宋_GB2312" w:cs="仿宋_GB2312" w:eastAsia="仿宋_GB2312"/>
                      <w:sz w:val="19"/>
                    </w:rPr>
                    <w:t>×</w:t>
                  </w:r>
                  <w:r>
                    <w:rPr>
                      <w:rFonts w:ascii="仿宋_GB2312" w:hAnsi="仿宋_GB2312" w:cs="仿宋_GB2312" w:eastAsia="仿宋_GB2312"/>
                      <w:sz w:val="19"/>
                    </w:rPr>
                    <w:t>150mm</w:t>
                  </w:r>
                  <w:r>
                    <w:rPr>
                      <w:rFonts w:ascii="仿宋_GB2312" w:hAnsi="仿宋_GB2312" w:cs="仿宋_GB2312" w:eastAsia="仿宋_GB2312"/>
                      <w:sz w:val="19"/>
                    </w:rPr>
                    <w:t>，分辨率≤</w:t>
                  </w:r>
                  <w:r>
                    <w:rPr>
                      <w:rFonts w:ascii="仿宋_GB2312" w:hAnsi="仿宋_GB2312" w:cs="仿宋_GB2312" w:eastAsia="仿宋_GB2312"/>
                      <w:sz w:val="19"/>
                    </w:rPr>
                    <w:t>0.02mm</w:t>
                  </w:r>
                  <w:r>
                    <w:rPr>
                      <w:rFonts w:ascii="仿宋_GB2312" w:hAnsi="仿宋_GB2312" w:cs="仿宋_GB2312" w:eastAsia="仿宋_GB2312"/>
                      <w:sz w:val="19"/>
                    </w:rPr>
                    <w:t>；</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扫描分辨率可以实时调整，既可以在扫描前设置，也可以在扫描过程中实时调整</w:t>
                  </w:r>
                  <w:r>
                    <w:rPr>
                      <w:rFonts w:ascii="仿宋_GB2312" w:hAnsi="仿宋_GB2312" w:cs="仿宋_GB2312" w:eastAsia="仿宋_GB2312"/>
                      <w:sz w:val="19"/>
                    </w:rPr>
                    <w:t>，</w:t>
                  </w:r>
                  <w:r>
                    <w:rPr>
                      <w:rFonts w:ascii="仿宋_GB2312" w:hAnsi="仿宋_GB2312" w:cs="仿宋_GB2312" w:eastAsia="仿宋_GB2312"/>
                      <w:sz w:val="19"/>
                    </w:rPr>
                    <w:t>体积精度</w:t>
                  </w:r>
                  <w:r>
                    <w:rPr>
                      <w:rFonts w:ascii="仿宋_GB2312" w:hAnsi="仿宋_GB2312" w:cs="仿宋_GB2312" w:eastAsia="仿宋_GB2312"/>
                      <w:sz w:val="19"/>
                    </w:rPr>
                    <w:t>0.0</w:t>
                  </w:r>
                  <w:r>
                    <w:rPr>
                      <w:rFonts w:ascii="仿宋_GB2312" w:hAnsi="仿宋_GB2312" w:cs="仿宋_GB2312" w:eastAsia="仿宋_GB2312"/>
                      <w:sz w:val="19"/>
                    </w:rPr>
                    <w:t>4</w:t>
                  </w:r>
                  <w:r>
                    <w:rPr>
                      <w:rFonts w:ascii="仿宋_GB2312" w:hAnsi="仿宋_GB2312" w:cs="仿宋_GB2312" w:eastAsia="仿宋_GB2312"/>
                      <w:sz w:val="19"/>
                    </w:rPr>
                    <w:t>mm+0.015mm/m</w:t>
                  </w:r>
                  <w:r>
                    <w:rPr>
                      <w:rFonts w:ascii="仿宋_GB2312" w:hAnsi="仿宋_GB2312" w:cs="仿宋_GB2312" w:eastAsia="仿宋_GB2312"/>
                      <w:sz w:val="19"/>
                    </w:rPr>
                    <w:t>。</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激光线数量</w:t>
                  </w:r>
                  <w:r>
                    <w:rPr>
                      <w:rFonts w:ascii="仿宋_GB2312" w:hAnsi="仿宋_GB2312" w:cs="仿宋_GB2312" w:eastAsia="仿宋_GB2312"/>
                      <w:sz w:val="19"/>
                    </w:rPr>
                    <w:t>≥</w:t>
                  </w:r>
                  <w:r>
                    <w:rPr>
                      <w:rFonts w:ascii="仿宋_GB2312" w:hAnsi="仿宋_GB2312" w:cs="仿宋_GB2312" w:eastAsia="仿宋_GB2312"/>
                      <w:sz w:val="19"/>
                    </w:rPr>
                    <w:t>40</w:t>
                  </w:r>
                  <w:r>
                    <w:rPr>
                      <w:rFonts w:ascii="仿宋_GB2312" w:hAnsi="仿宋_GB2312" w:cs="仿宋_GB2312" w:eastAsia="仿宋_GB2312"/>
                      <w:sz w:val="19"/>
                    </w:rPr>
                    <w:t>束；</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扫描基准距</w:t>
                  </w:r>
                  <w:r>
                    <w:rPr>
                      <w:rFonts w:ascii="仿宋_GB2312" w:hAnsi="仿宋_GB2312" w:cs="仿宋_GB2312" w:eastAsia="仿宋_GB2312"/>
                      <w:sz w:val="19"/>
                    </w:rPr>
                    <w:t>≥</w:t>
                  </w:r>
                  <w:r>
                    <w:rPr>
                      <w:rFonts w:ascii="仿宋_GB2312" w:hAnsi="仿宋_GB2312" w:cs="仿宋_GB2312" w:eastAsia="仿宋_GB2312"/>
                      <w:sz w:val="19"/>
                    </w:rPr>
                    <w:t>250</w:t>
                  </w:r>
                  <w:r>
                    <w:rPr>
                      <w:rFonts w:ascii="仿宋_GB2312" w:hAnsi="仿宋_GB2312" w:cs="仿宋_GB2312" w:eastAsia="仿宋_GB2312"/>
                      <w:sz w:val="19"/>
                    </w:rPr>
                    <w:t>mm</w:t>
                  </w:r>
                  <w:r>
                    <w:rPr>
                      <w:rFonts w:ascii="仿宋_GB2312" w:hAnsi="仿宋_GB2312" w:cs="仿宋_GB2312" w:eastAsia="仿宋_GB2312"/>
                      <w:sz w:val="19"/>
                    </w:rPr>
                    <w:t>；</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扫描景深</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5</w:t>
                  </w:r>
                  <w:r>
                    <w:rPr>
                      <w:rFonts w:ascii="仿宋_GB2312" w:hAnsi="仿宋_GB2312" w:cs="仿宋_GB2312" w:eastAsia="仿宋_GB2312"/>
                      <w:sz w:val="19"/>
                    </w:rPr>
                    <w:t>0mm</w:t>
                  </w:r>
                  <w:r>
                    <w:rPr>
                      <w:rFonts w:ascii="仿宋_GB2312" w:hAnsi="仿宋_GB2312" w:cs="仿宋_GB2312" w:eastAsia="仿宋_GB2312"/>
                      <w:sz w:val="19"/>
                    </w:rPr>
                    <w:t>；</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配备</w:t>
                  </w:r>
                  <w:r>
                    <w:rPr>
                      <w:rFonts w:ascii="仿宋_GB2312" w:hAnsi="仿宋_GB2312" w:cs="仿宋_GB2312" w:eastAsia="仿宋_GB2312"/>
                      <w:sz w:val="19"/>
                    </w:rPr>
                    <w:t>三维</w:t>
                  </w:r>
                  <w:r>
                    <w:rPr>
                      <w:rFonts w:ascii="仿宋_GB2312" w:hAnsi="仿宋_GB2312" w:cs="仿宋_GB2312" w:eastAsia="仿宋_GB2312"/>
                      <w:sz w:val="19"/>
                    </w:rPr>
                    <w:t>处理硬件及</w:t>
                  </w:r>
                  <w:r>
                    <w:rPr>
                      <w:rFonts w:ascii="仿宋_GB2312" w:hAnsi="仿宋_GB2312" w:cs="仿宋_GB2312" w:eastAsia="仿宋_GB2312"/>
                      <w:sz w:val="19"/>
                    </w:rPr>
                    <w:t>软件</w:t>
                  </w:r>
                  <w:r>
                    <w:rPr>
                      <w:rFonts w:ascii="仿宋_GB2312" w:hAnsi="仿宋_GB2312" w:cs="仿宋_GB2312" w:eastAsia="仿宋_GB2312"/>
                      <w:sz w:val="19"/>
                    </w:rPr>
                    <w:t>，</w:t>
                  </w:r>
                  <w:r>
                    <w:rPr>
                      <w:rFonts w:ascii="仿宋_GB2312" w:hAnsi="仿宋_GB2312" w:cs="仿宋_GB2312" w:eastAsia="仿宋_GB2312"/>
                      <w:sz w:val="19"/>
                    </w:rPr>
                    <w:t>实现基于特征的实体的正向和逆向建模功能</w:t>
                  </w:r>
                  <w:r>
                    <w:rPr>
                      <w:rFonts w:ascii="仿宋_GB2312" w:hAnsi="仿宋_GB2312" w:cs="仿宋_GB2312" w:eastAsia="仿宋_GB2312"/>
                      <w:sz w:val="19"/>
                    </w:rPr>
                    <w:t>；</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样品转台：承载样品尺寸</w:t>
                  </w:r>
                  <w:r>
                    <w:rPr>
                      <w:rFonts w:ascii="仿宋_GB2312" w:hAnsi="仿宋_GB2312" w:cs="仿宋_GB2312" w:eastAsia="仿宋_GB2312"/>
                      <w:sz w:val="19"/>
                    </w:rPr>
                    <w:t>≥</w:t>
                  </w:r>
                  <w:r>
                    <w:rPr>
                      <w:rFonts w:ascii="仿宋_GB2312" w:hAnsi="仿宋_GB2312" w:cs="仿宋_GB2312" w:eastAsia="仿宋_GB2312"/>
                      <w:sz w:val="19"/>
                    </w:rPr>
                    <w:t>500mm</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跟踪器和手持激光扫描头均具有无线网络接口，插入无线网卡即可实现无线传输，无需外接模块。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交货时间为本合同生效后30天内到货并安装调试交付使用。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合同签订后，供应商开具全额银行保函，采购人收到银行保函正本后，一次性付清合同货款，待货物到达指定地点、安装调试验收合格后，采购人退还银行保函</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1.培训要求：供应商应在货物交付后开展不少于3场次的应用培训。 2.报价要求：（1）供应商应当根据采购文件的要求和范围，以人民币为货币，以元为报价单位。（2）报价：投标报价是指到达使用地点、验收合格达到正常使用条件前的所有费用，包括但不限于以下费用：货物价值、安装调试费、国内运杂费（含保险）、仓储保管费、技术培训费、检测费、施工费、人工费等全部相关费用； 3.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wangxin@sxzjtc.com（邮件命名：项目编号）。保函必须由具有开具投标保函资格的单位开具；若供应商违约，开具保函单位承担连带责任； 4.根据采购人档案管理要求，供应商需要在线提交所有通过电子化交易平台实施的政府采购项目的投标文件，同时，线下提交投标文件正本 壹 份、副本 壹 份。若系统电子投标文件与纸质投标文件不一致的，以系统电子投标文件为准。5、落实政府采购政策《国务院办公厅关于在政府采购中实施本国产品标准及相关政策的通知国办发〔2025〕34号》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为合法注册的法人、其他组织或自然人，具有独立承担民事责任的能力，提供具有统一社会信用代码证的营业执照（或事业单位法人证）；供应商为自然人的提供身份证； 2、供应商提供2024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三、强化政府采购异常低价审查 （一）政府采购评审中出现下列情形之一的，评标委员会应当启动异常低价响应审查程序：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二）评标委员会启动异常低价响应审查后，相关供应商在评审现场合理的时间内对投标价格作出解释，提供项目具体成本测算等与报价合理性相关的书面说明及必要的证明材料，包括但不限于原材料成本、人工成本、制造费用等。评标委员会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标委员会应当将其作为无效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交货时间为本合同生效后30天内到货并安装调试交付使用。</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合同签订后，供应商开具全额银行保函，采购人收到银行保函正本后，一次性付清合同货款，待货物到达指定地点、安装调试验收合格后，采购人退还银行保函。</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30分；“▲”参数每负偏离一项扣5分，未带标识参数每负偏离一项扣2.5分。备注：▲号参数必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既为节能产品又是环境标志产品得1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验收方案。方案内容完整全面，项目执行与项目进度安排、项目验收流程控制明确务实、实践性与可行性强；每有一项缺项扣1.6分，每有一处内容存在缺陷，扣0.4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1、全生命周期的扩展性和延续性；2、硬件与软件的适配性，项目耗材、维护成本等。方案内容完整全面、有针对性，科学合理可实施性强；每有一项缺项扣1.5分，每有一处内容存在缺陷，扣0.5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方案内容完整全面，产品性能完善、使用寿命长，使用效果好。每有一项缺项扣2分，每有一处内容存在缺陷，扣0.5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方案内容完整全面，出现故障响应时间及时，响应措施完善；每有一项缺项扣2分，每有一处内容存在缺陷，扣0.5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1、培训时间、培训人数、培训方式；2、培训内容应包括所提供产品的原理和技术性能、操作维护方法、安装调试、排除故障等各个方面。方案内容完整，培训方式多样、培训内容涵盖全面；每有一项缺项扣1.5分，每有一处内容存在缺陷，扣0.5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提供供应商2022年1月1日至今同类项目业绩（以合同签订日期为准）及对应发票。每提供1份得1分，最高得5分。备注：提供合同复印件及发票。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详见附件：实施方案、人员表及供应商认为有必要提供的其他内容.docx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详见附件：开标一览表及分项报价表.docx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