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版本号：ZTZLZC-XA2026-030820260316001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陕西好粮油在省外一线城市举办品牌推介会项目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ZTZLZC-XA2026-0308</w:t>
      </w:r>
      <w:r>
        <w:br/>
      </w:r>
      <w:r>
        <w:br/>
      </w:r>
      <w:r>
        <w:br/>
      </w:r>
    </w:p>
    <w:p>
      <w:pPr>
        <w:pStyle w:val="null3"/>
        <w:jc w:val="center"/>
        <w:outlineLvl w:val="2"/>
      </w:pPr>
      <w:r>
        <w:rPr>
          <w:rFonts w:ascii="仿宋_GB2312" w:hAnsi="仿宋_GB2312" w:cs="仿宋_GB2312" w:eastAsia="仿宋_GB2312"/>
          <w:sz w:val="28"/>
          <w:b/>
        </w:rPr>
        <w:t>陕西省粮食和物资储备局</w:t>
      </w:r>
    </w:p>
    <w:p>
      <w:pPr>
        <w:pStyle w:val="null3"/>
        <w:jc w:val="center"/>
        <w:outlineLvl w:val="2"/>
      </w:pPr>
      <w:r>
        <w:rPr>
          <w:rFonts w:ascii="仿宋_GB2312" w:hAnsi="仿宋_GB2312" w:cs="仿宋_GB2312" w:eastAsia="仿宋_GB2312"/>
          <w:sz w:val="28"/>
          <w:b/>
        </w:rPr>
        <w:t>陕西中天正略企业运营发展有限公司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陕西中天正略企业运营发展有限公司</w:t>
      </w:r>
      <w:r>
        <w:rPr>
          <w:rFonts w:ascii="仿宋_GB2312" w:hAnsi="仿宋_GB2312" w:cs="仿宋_GB2312" w:eastAsia="仿宋_GB2312"/>
        </w:rPr>
        <w:t>（以下简称“代理机构”）受</w:t>
      </w:r>
      <w:r>
        <w:rPr>
          <w:rFonts w:ascii="仿宋_GB2312" w:hAnsi="仿宋_GB2312" w:cs="仿宋_GB2312" w:eastAsia="仿宋_GB2312"/>
        </w:rPr>
        <w:t>陕西省粮食和物资储备局</w:t>
      </w:r>
      <w:r>
        <w:rPr>
          <w:rFonts w:ascii="仿宋_GB2312" w:hAnsi="仿宋_GB2312" w:cs="仿宋_GB2312" w:eastAsia="仿宋_GB2312"/>
        </w:rPr>
        <w:t>委托，拟对</w:t>
      </w:r>
      <w:r>
        <w:rPr>
          <w:rFonts w:ascii="仿宋_GB2312" w:hAnsi="仿宋_GB2312" w:cs="仿宋_GB2312" w:eastAsia="仿宋_GB2312"/>
        </w:rPr>
        <w:t>陕西好粮油在省外一线城市举办品牌推介会项目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ZTZLZC-XA2026-0308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陕西好粮油在省外一线城市举办品牌推介会项目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陕西好粮油在外省一线城市举办品牌推介会，负责完成专业舞台设计及搭建、现场展品和展陈设计和布置等，确保推介会高质量落地执行。</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采购包1（陕西好粮油在外省一线城市举办品牌推介会）：属于专门面向中小企业采购。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合法有效的营业执照/事业单位法人证书/专业服务机构执业许可证/民办非企业单位登记证书等相关证明，自然人参与的提供其身份证明；</w:t>
      </w:r>
    </w:p>
    <w:p>
      <w:pPr>
        <w:pStyle w:val="null3"/>
      </w:pPr>
      <w:r>
        <w:rPr>
          <w:rFonts w:ascii="仿宋_GB2312" w:hAnsi="仿宋_GB2312" w:cs="仿宋_GB2312" w:eastAsia="仿宋_GB2312"/>
        </w:rPr>
        <w:t>2、授权委托书：供应商应授权合法的人员参加投标：法定代表人直接参加投标，须出具法定代表人身份证明；法定代表人授权代表参加投标，须出具法定代表人授权书；</w:t>
      </w:r>
    </w:p>
    <w:p>
      <w:pPr>
        <w:pStyle w:val="null3"/>
      </w:pPr>
      <w:r>
        <w:rPr>
          <w:rFonts w:ascii="仿宋_GB2312" w:hAnsi="仿宋_GB2312" w:cs="仿宋_GB2312" w:eastAsia="仿宋_GB2312"/>
        </w:rPr>
        <w:t>3、财务状况报告：提供2024年度的财务审计报告或开户银行出具的资信证明；</w:t>
      </w:r>
    </w:p>
    <w:p>
      <w:pPr>
        <w:pStyle w:val="null3"/>
      </w:pPr>
      <w:r>
        <w:rPr>
          <w:rFonts w:ascii="仿宋_GB2312" w:hAnsi="仿宋_GB2312" w:cs="仿宋_GB2312" w:eastAsia="仿宋_GB2312"/>
        </w:rPr>
        <w:t>4、税收缴纳证明：开标前六个月内至少一个月的纳税凭证/证明，依法免税的应提供相关证明材料；</w:t>
      </w:r>
    </w:p>
    <w:p>
      <w:pPr>
        <w:pStyle w:val="null3"/>
      </w:pPr>
      <w:r>
        <w:rPr>
          <w:rFonts w:ascii="仿宋_GB2312" w:hAnsi="仿宋_GB2312" w:cs="仿宋_GB2312" w:eastAsia="仿宋_GB2312"/>
        </w:rPr>
        <w:t>5、社会保障资金缴纳证明：开标前六个月内至少一个月的社会保障资金缴纳凭证/证明，依法不需要缴纳的应提供相关证明材料；</w:t>
      </w:r>
    </w:p>
    <w:p>
      <w:pPr>
        <w:pStyle w:val="null3"/>
      </w:pPr>
      <w:r>
        <w:rPr>
          <w:rFonts w:ascii="仿宋_GB2312" w:hAnsi="仿宋_GB2312" w:cs="仿宋_GB2312" w:eastAsia="仿宋_GB2312"/>
        </w:rPr>
        <w:t>6、履约承诺：提供具有履行本合同所必需的设备和专业技术能力的说明或承诺书；</w:t>
      </w:r>
    </w:p>
    <w:p>
      <w:pPr>
        <w:pStyle w:val="null3"/>
      </w:pPr>
      <w:r>
        <w:rPr>
          <w:rFonts w:ascii="仿宋_GB2312" w:hAnsi="仿宋_GB2312" w:cs="仿宋_GB2312" w:eastAsia="仿宋_GB2312"/>
        </w:rPr>
        <w:t>7、书面声明：供应商应出具参加政府采购活动前3年内在经营活动中没有重大违法记录的书面声明；</w:t>
      </w:r>
    </w:p>
    <w:p>
      <w:pPr>
        <w:pStyle w:val="null3"/>
      </w:pPr>
      <w:r>
        <w:rPr>
          <w:rFonts w:ascii="仿宋_GB2312" w:hAnsi="仿宋_GB2312" w:cs="仿宋_GB2312" w:eastAsia="仿宋_GB2312"/>
        </w:rPr>
        <w:t>8、信用截图：供应商不得被列入“中国执行信息公开网”（http：//zxgk.court.gov.cn）失信被执行人，不得被列入“信用中国”网站（www.creditchina.gov.cn）重大税收违法失信主体，不得被列入“中国政府采购网”（www.ccgp.gov.cn）政府采购严重违法失信行为记录名单；</w:t>
      </w:r>
    </w:p>
    <w:p>
      <w:pPr>
        <w:pStyle w:val="null3"/>
      </w:pPr>
      <w:r>
        <w:rPr>
          <w:rFonts w:ascii="仿宋_GB2312" w:hAnsi="仿宋_GB2312" w:cs="仿宋_GB2312" w:eastAsia="仿宋_GB2312"/>
        </w:rPr>
        <w:t>9、中小企业：本项目专门面向中小企业；</w:t>
      </w:r>
    </w:p>
    <w:p>
      <w:pPr>
        <w:pStyle w:val="null3"/>
      </w:pPr>
      <w:r>
        <w:rPr>
          <w:rFonts w:ascii="仿宋_GB2312" w:hAnsi="仿宋_GB2312" w:cs="仿宋_GB2312" w:eastAsia="仿宋_GB2312"/>
        </w:rPr>
        <w:t>10、不接受联合体投标：本项目不接受联合体投标。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陕西省粮食和物资储备局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莲湖路32号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陶老师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029-87276190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陕西中天正略企业运营发展有限公司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西安曲江新区翠华路500号佳和中心B座26层3号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029-89660303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根据发改价格[2011]534号文件及《国家发展改革委关于进一步放开建设项目专业服务价格的通知》（发改价格〔2015〕299号）文规定收取代理服务费。由成交人领取成交通知书时一次性支付完毕</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陕西省粮食和物资储备局</w:t>
      </w:r>
      <w:r>
        <w:rPr>
          <w:rFonts w:ascii="仿宋_GB2312" w:hAnsi="仿宋_GB2312" w:cs="仿宋_GB2312" w:eastAsia="仿宋_GB2312"/>
        </w:rPr>
        <w:t>和</w:t>
      </w:r>
      <w:r>
        <w:rPr>
          <w:rFonts w:ascii="仿宋_GB2312" w:hAnsi="仿宋_GB2312" w:cs="仿宋_GB2312" w:eastAsia="仿宋_GB2312"/>
        </w:rPr>
        <w:t>陕西中天正略企业运营发展有限公司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陕西省粮食和物资储备局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陕西中天正略企业运营发展有限公司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陕西省粮食和物资储备局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陕西中天正略企业运营发展有限公司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(一)合同文本、合同附件、招标文件、响应文件。(二)乙方提交的结案报告。(三)国内相应的标准、规范。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陕西中天正略企业运营发展有限公司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陕西中天正略企业运营发展有限公司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陕西中天正略企业运营发展有限公司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联系人：刘钰</w:t>
      </w:r>
    </w:p>
    <w:p>
      <w:pPr>
        <w:pStyle w:val="null3"/>
      </w:pPr>
      <w:r>
        <w:rPr>
          <w:rFonts w:ascii="仿宋_GB2312" w:hAnsi="仿宋_GB2312" w:cs="仿宋_GB2312" w:eastAsia="仿宋_GB2312"/>
        </w:rPr>
        <w:t>联系电话：029-89660303</w:t>
      </w:r>
    </w:p>
    <w:p>
      <w:pPr>
        <w:pStyle w:val="null3"/>
      </w:pPr>
      <w:r>
        <w:rPr>
          <w:rFonts w:ascii="仿宋_GB2312" w:hAnsi="仿宋_GB2312" w:cs="仿宋_GB2312" w:eastAsia="仿宋_GB2312"/>
        </w:rPr>
        <w:t>地址：西安曲江新区翠华路500号佳和中心B座26层3号</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陕西好粮油在外省一线城市举办品牌推介会，负责完成专业舞台设计及搭建、现场展品和展陈设计和布置等，确保推介会高质量落地执行。</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陕西好粮油在省外一线城市举办品牌推介会</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标的名称：陕西好粮油在省外一线城市举办品牌推介会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rPr>
              <w:t>一、项目名称：陕西好粮油在外省一线城市举办品牌推介会</w:t>
            </w:r>
          </w:p>
          <w:p>
            <w:pPr>
              <w:pStyle w:val="null3"/>
            </w:pPr>
            <w:r>
              <w:rPr>
                <w:rFonts w:ascii="仿宋_GB2312" w:hAnsi="仿宋_GB2312" w:cs="仿宋_GB2312" w:eastAsia="仿宋_GB2312"/>
                <w:sz w:val="24"/>
                <w:b/>
              </w:rPr>
              <w:t>二、预算金额</w:t>
            </w:r>
            <w:r>
              <w:rPr>
                <w:rFonts w:ascii="仿宋_GB2312" w:hAnsi="仿宋_GB2312" w:cs="仿宋_GB2312" w:eastAsia="仿宋_GB2312"/>
                <w:sz w:val="24"/>
                <w:b/>
              </w:rPr>
              <w:t>:</w:t>
            </w:r>
            <w:r>
              <w:rPr>
                <w:rFonts w:ascii="仿宋_GB2312" w:hAnsi="仿宋_GB2312" w:cs="仿宋_GB2312" w:eastAsia="仿宋_GB2312"/>
              </w:rPr>
              <w:t xml:space="preserve"> </w:t>
            </w:r>
            <w:r>
              <w:rPr>
                <w:rFonts w:ascii="仿宋_GB2312" w:hAnsi="仿宋_GB2312" w:cs="仿宋_GB2312" w:eastAsia="仿宋_GB2312"/>
                <w:sz w:val="24"/>
              </w:rPr>
              <w:t>800000.00</w:t>
            </w:r>
            <w:r>
              <w:rPr>
                <w:rFonts w:ascii="仿宋_GB2312" w:hAnsi="仿宋_GB2312" w:cs="仿宋_GB2312" w:eastAsia="仿宋_GB2312"/>
                <w:sz w:val="24"/>
              </w:rPr>
              <w:t>元</w:t>
            </w:r>
          </w:p>
          <w:p>
            <w:pPr>
              <w:pStyle w:val="null3"/>
            </w:pPr>
            <w:r>
              <w:rPr>
                <w:rFonts w:ascii="仿宋_GB2312" w:hAnsi="仿宋_GB2312" w:cs="仿宋_GB2312" w:eastAsia="仿宋_GB2312"/>
                <w:sz w:val="24"/>
                <w:b/>
              </w:rPr>
              <w:t>三、</w:t>
            </w:r>
            <w:r>
              <w:rPr>
                <w:rFonts w:ascii="仿宋_GB2312" w:hAnsi="仿宋_GB2312" w:cs="仿宋_GB2312" w:eastAsia="仿宋_GB2312"/>
                <w:sz w:val="24"/>
                <w:b/>
              </w:rPr>
              <w:t>服务内容：</w:t>
            </w:r>
          </w:p>
          <w:p>
            <w:pPr>
              <w:pStyle w:val="null3"/>
            </w:pPr>
            <w:r>
              <w:rPr>
                <w:rFonts w:ascii="仿宋_GB2312" w:hAnsi="仿宋_GB2312" w:cs="仿宋_GB2312" w:eastAsia="仿宋_GB2312"/>
                <w:sz w:val="24"/>
                <w:b/>
              </w:rPr>
              <w:t xml:space="preserve">  </w:t>
            </w:r>
            <w:r>
              <w:rPr>
                <w:rFonts w:ascii="仿宋_GB2312" w:hAnsi="仿宋_GB2312" w:cs="仿宋_GB2312" w:eastAsia="仿宋_GB2312"/>
                <w:sz w:val="24"/>
              </w:rPr>
              <w:t>需要全流程执行，负责完成专业舞台设计及搭建、现场展品和展陈设计和布置；配备优质演艺人员和服务人员及流程编排；提供规范会务接待服务；安排专业摄影摄像全程记录并完成后期剪辑输出；设计制作会务物料；并在微信公众号、抖音等相关媒体发布；</w:t>
            </w:r>
          </w:p>
          <w:p>
            <w:pPr>
              <w:pStyle w:val="null3"/>
            </w:pPr>
            <w:r>
              <w:rPr>
                <w:rFonts w:ascii="仿宋_GB2312" w:hAnsi="仿宋_GB2312" w:cs="仿宋_GB2312" w:eastAsia="仿宋_GB2312"/>
                <w:sz w:val="24"/>
              </w:rPr>
              <w:t xml:space="preserve">  落实现场安全保障、应急处置及秩序维护。整体服务需满足活动流程顺畅、现场效果达标、安全规范可控；确保推介会高质量落地执行。</w:t>
            </w:r>
          </w:p>
          <w:p>
            <w:pPr>
              <w:pStyle w:val="null3"/>
            </w:pPr>
            <w:r>
              <w:rPr>
                <w:rFonts w:ascii="仿宋_GB2312" w:hAnsi="仿宋_GB2312" w:cs="仿宋_GB2312" w:eastAsia="仿宋_GB2312"/>
                <w:sz w:val="24"/>
                <w:b/>
              </w:rPr>
              <w:t>四、</w:t>
            </w:r>
            <w:r>
              <w:rPr>
                <w:rFonts w:ascii="仿宋_GB2312" w:hAnsi="仿宋_GB2312" w:cs="仿宋_GB2312" w:eastAsia="仿宋_GB2312"/>
                <w:sz w:val="24"/>
                <w:b/>
              </w:rPr>
              <w:t>服务期：</w:t>
            </w:r>
            <w:r>
              <w:rPr>
                <w:rFonts w:ascii="仿宋_GB2312" w:hAnsi="仿宋_GB2312" w:cs="仿宋_GB2312" w:eastAsia="仿宋_GB2312"/>
                <w:sz w:val="24"/>
                <w:b/>
              </w:rPr>
              <w:t>2026年12月底前完成</w:t>
            </w:r>
          </w:p>
          <w:p>
            <w:pPr>
              <w:pStyle w:val="null3"/>
            </w:pPr>
            <w:r>
              <w:rPr>
                <w:rFonts w:ascii="仿宋_GB2312" w:hAnsi="仿宋_GB2312" w:cs="仿宋_GB2312" w:eastAsia="仿宋_GB2312"/>
                <w:sz w:val="24"/>
                <w:b/>
              </w:rPr>
              <w:t>五、付款方式：</w:t>
            </w:r>
            <w:r>
              <w:rPr>
                <w:rFonts w:ascii="仿宋_GB2312" w:hAnsi="仿宋_GB2312" w:cs="仿宋_GB2312" w:eastAsia="仿宋_GB2312"/>
                <w:sz w:val="24"/>
              </w:rPr>
              <w:t>合同签订后支付合同总金额</w:t>
            </w:r>
            <w:r>
              <w:rPr>
                <w:rFonts w:ascii="仿宋_GB2312" w:hAnsi="仿宋_GB2312" w:cs="仿宋_GB2312" w:eastAsia="仿宋_GB2312"/>
                <w:sz w:val="24"/>
              </w:rPr>
              <w:t>60%，执行结束且验收合格后付剩余40%。</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针对本项目投入专业服务团队，组织结构合理，人员分工明确。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自合同生效之日起至合同全部权利义务履行完毕之日止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合同条款前附表指定地点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(一)合同文本、合同附件、招标文件、响应文件。(二)乙方提交的结案报告。(三)国内相应的标准、规范。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执行结束且验收合格后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1.服务缺陷的补救措施和索赔 (1)如果乙方提供的服务不符合本合同约定以及磋商文件、响应文件关于服务的要求和承诺，乙方应按照甲方同意的下列一种或几种方式结合起来解决索赔事宜： ①乙方同意将服务款项目退还给甲方，由此发生的一切费用和损失由乙方承担。如甲方以适当的条件和方法购买与未履约标的相类似的服务，乙方应负担新购买类似服务所超出的费用。 ②根据服务的质量状况以及甲方所遭受的损失，经过甲乙双方商定降低服务的价格，协商不成的，以甲方确认的服务价格为准。 (2)如果在甲方发出索赔通知后10日内乙方未作答复，上述索赔应视为已被乙方接受。如果乙方未能在甲方发出索赔通知后10日内或甲方同意延长的期限内，按照上述规定的任何一种方法采取补救措施，甲方有权从应付服务款中扣除索赔金额或者要求提供履约保函的银行进行赔付，如不足以弥补甲方损失的，甲方有权进一步要求乙方赔偿。 2.迟延履约的违约责任 (1)乙方应按照本合同规定的时间、地点提供服务。 (2)在履行合同过程中，如果乙方遇到可能妨碍按时提供服务的情形时，应及时以书面形式将迟延的事实、可能迟延的期限和理由通知甲方。甲方在收到乙方通知后，应尽快对情况进行评价，并确定是否同意延期提供服务。 (3)除甲乙双方另有约定外，如果乙方没有按照合同规定的时间提供服务，且没有在甲方同意的延长的期限内进行补救时，甲方有权从服务款中扣除、或要求乙方另行支付误期赔偿费而不影响合同项下的其他补救方法。赔偿费每日按合同金额的0.5%计收，直至交货或提供服务为止。但误期赔偿费的最高限额不超过合同价的15%。 (4)如果乙方延迟履约超过30日，甲方有权终止全部或部分合同，并依其认为适当的条件和方法购买与未履约类似的服务，乙方应负担购买类似服务所超出的费用。但是，乙方应继续执行合同中未终止的部分。 3.未履行合同义务的违约责任 (1)守约方有权终止全部或部分合同。 (2)由违约一方支付违约金，违约金标准见合同条款前附表。 (3)违约金不足以弥补守约方实际损失、可预见或者应当预见的损失，由违约方全额予以赔偿。 4.不可抗力 （1）如果合同双方因不可抗力而导致合同实施延误或合同无法实施，不应该承担误期赔偿或不能履行合同义务的责任。 （2）本条所述的“不可抗力”系指那些双方不可预见、不可避免、不可克服的客观情况，但不包括双方的违约或疏忽。这些事件包括但不限于：战争、严重火灾、洪水、台风、地震等。 （3）在不可抗力事件发生后，当事方应及时将不可抗力情况通知合同对方，在不可抗力事件结束后3日内以书面形式将不可抗力的情况和原因通知合同对方，并提供相应的证明文件。合同各方应尽可能继续履行合同义务，并积极寻求采取合理的措施履行不受不可抗力影响的其他事项。合同各方应通过友好协商在合理时间内达成进一步履行的协议。 5.合同纠纷的解决方式 （1）合同各方应通过友好协商，解决在执行合同过程中所发生的或与合同有关的一切争端。如协商30日内(根据实际情况设定)不能解决，可以按合同规定的方式提起诉讼。 （2）诉讼应由甲方住所地人民法院管辖。财产保全担保保险费、财产保全申请费、律师代理费、差旅费、评估费、鉴定费诉讼费等与仲裁或诉讼活动相关费用应由败诉方负担。 （3）如诉讼事项不影响合同其他部分的履行，则在诉讼期间，除正在进行诉讼的部分外，合同的其他部分应继续执行。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为顺利推进政府采购电子化交易平台应用工作，供应商需要在线提交所有通过电子化交易平台实施的政府采购项目的投标文件。同时，线下提交纸质投标文件正本壹份、副本贰份，电子版本贰份(以U盘形式提供，文件格式包含word 或pdf格式)。若电子投标文件与纸质投标文件不一致的，以电子投标文件为准；若正本和副本不符。以正本为准。投标文件正本和副本分别各自装订成册密封（电子版同正本一起密封）。在封口处加盖供应商公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落实政府采购政策需满足的资格要求如下：</w:t>
            </w:r>
          </w:p>
        </w:tc>
        <w:tc>
          <w:tcPr>
            <w:tcW w:type="dxa" w:w="3322"/>
          </w:tcPr>
          <w:p>
            <w:pPr>
              <w:pStyle w:val="null3"/>
            </w:pPr>
            <w:r>
              <w:rPr>
                <w:rFonts w:ascii="仿宋_GB2312" w:hAnsi="仿宋_GB2312" w:cs="仿宋_GB2312" w:eastAsia="仿宋_GB2312"/>
              </w:rPr>
              <w:t>（1）《政府采购促进中小企业发展管理办法》（财库〔2020〕46号）； （2）《财政部 司法部关于政府采购支持监狱企业发展有关问题的通知》（库〔2014〕68号）； （3）《国务院办公厅关于建立政府强制采购节能产品制度的通知》（国发办〔2007〕51号）； （4）《关于印发节能产品政府采购品目清单的通知（财库〔2019〕19号）； （5）《关于印发环境标志产品政府采购品目清单的通知》（财库〔2019〕18号）； （6）《三部门联合发布关于促进残疾人就业政府采购政策的通知》（财库〔2017〕141号）； （7）《财政部 发展改革委 生态环境部 市场监管总局关于调整优化节能产品、环境标志产品政府采购执行机制的通知》（财库〔2019〕9号）； （8）陕西省财政厅关于印发《陕西省中小企业政府采购信用融资办法》（陕财办采〔2018〕23号）； （9）《财政部 农业农村部 国家乡村振兴局关于运用政府采购政策支持乡村产业振兴的通知》（财库〔2021〕19号）； （10）《财政部 农业农村部 国家乡村振兴局 中华全国供销合作总社关于印发&lt;关于深入开展政府采购脱贫地区农副产品工作推进乡村产业振兴的实施意见&gt;的通知》（财库〔2021〕20号）； （11）《陕西省财政厅关于加快推进我省中小企业政府采购信用融资工作的通知》（陕财办采〔2020〕15号）； （12）《关于进一步加强政府绿色采购有关问题的通知》（陕财办采〔2021〕29号）； （13）《陕西省财政厅、中国人民银行西安分行关于深入推进政府采购信用融资业务的通知》（陕财办采〔2023〕5号）； （14）其他需要落实的政府采购政策。</w:t>
            </w:r>
          </w:p>
        </w:tc>
        <w:tc>
          <w:tcPr>
            <w:tcW w:type="dxa" w:w="1661"/>
          </w:tcPr>
          <w:p>
            <w:pPr>
              <w:pStyle w:val="null3"/>
            </w:pPr>
            <w:r>
              <w:rPr>
                <w:rFonts w:ascii="仿宋_GB2312" w:hAnsi="仿宋_GB2312" w:cs="仿宋_GB2312" w:eastAsia="仿宋_GB2312"/>
              </w:rPr>
              <w:t>供应商资格证明文件.docx</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具有独立承担民事责任能力的法人、其他组织或自然人，提供合法有效的营业执照/事业单位法人证书/专业服务机构执业许可证/民办非企业单位登记证书等相关证明，自然人参与的提供其身份证明；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供应商应授权合法的人员参加投标：法定代表人直接参加投标，须出具法定代表人身份证明；法定代表人授权代表参加投标，须出具法定代表人授权书；</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提供2024年度的财务审计报告或开户银行出具的资信证明；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开标前六个月内至少一个月的纳税凭证/证明，依法免税的应提供相关证明材料；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开标前六个月内至少一个月的社会保障资金缴纳凭证/证明，依法不需要缴纳的应提供相关证明材料；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履约承诺</w:t>
            </w:r>
          </w:p>
        </w:tc>
        <w:tc>
          <w:tcPr>
            <w:tcW w:type="dxa" w:w="3322"/>
          </w:tcPr>
          <w:p>
            <w:pPr>
              <w:pStyle w:val="null3"/>
            </w:pPr>
            <w:r>
              <w:rPr>
                <w:rFonts w:ascii="仿宋_GB2312" w:hAnsi="仿宋_GB2312" w:cs="仿宋_GB2312" w:eastAsia="仿宋_GB2312"/>
              </w:rPr>
              <w:t>提供具有履行本合同所必需的设备和专业技术能力的说明或承诺书；</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供应商应出具参加政府采购活动前3年内在经营活动中没有重大违法记录的书面声明；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信用截图</w:t>
            </w:r>
          </w:p>
        </w:tc>
        <w:tc>
          <w:tcPr>
            <w:tcW w:type="dxa" w:w="3322"/>
          </w:tcPr>
          <w:p>
            <w:pPr>
              <w:pStyle w:val="null3"/>
            </w:pPr>
            <w:r>
              <w:rPr>
                <w:rFonts w:ascii="仿宋_GB2312" w:hAnsi="仿宋_GB2312" w:cs="仿宋_GB2312" w:eastAsia="仿宋_GB2312"/>
              </w:rPr>
              <w:t>供应商不得被列入“中国执行信息公开网”（http：//zxgk.court.gov.cn）失信被执行人，不得被列入“信用中国”网站（www.creditchina.gov.cn）重大税收违法失信主体，不得被列入“中国政府采购网”（www.ccgp.gov.cn）政府采购严重违法失信行为记录名单；</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中小企业</w:t>
            </w:r>
          </w:p>
        </w:tc>
        <w:tc>
          <w:tcPr>
            <w:tcW w:type="dxa" w:w="3322"/>
          </w:tcPr>
          <w:p>
            <w:pPr>
              <w:pStyle w:val="null3"/>
            </w:pPr>
            <w:r>
              <w:rPr>
                <w:rFonts w:ascii="仿宋_GB2312" w:hAnsi="仿宋_GB2312" w:cs="仿宋_GB2312" w:eastAsia="仿宋_GB2312"/>
              </w:rPr>
              <w:t>本项目专门面向中小企业；</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不接受联合体投标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服务方案及业绩.docx 供应商认为有必要补充说明的事项.docx 标的清单 供应商资格证明文件.docx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响应文件签字盖章、格式</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服务方案及业绩.docx 供应商认为有必要补充说明的事项.docx 标的清单 供应商资格证明文件.docx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唯一报价，并未超出采购预算或最高限价</w:t>
            </w:r>
          </w:p>
        </w:tc>
        <w:tc>
          <w:tcPr>
            <w:tcW w:type="dxa" w:w="1661"/>
          </w:tcPr>
          <w:p>
            <w:pPr>
              <w:pStyle w:val="null3"/>
            </w:pPr>
            <w:r>
              <w:rPr>
                <w:rFonts w:ascii="仿宋_GB2312" w:hAnsi="仿宋_GB2312" w:cs="仿宋_GB2312" w:eastAsia="仿宋_GB2312"/>
              </w:rPr>
              <w:t>响应文件封面 标的清单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服务周期的响应</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服务方案及业绩.docx 供应商认为有必要补充说明的事项.docx 标的清单 供应商资格证明文件.docx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服务内容及要求</w:t>
            </w:r>
          </w:p>
        </w:tc>
        <w:tc>
          <w:tcPr>
            <w:tcW w:type="dxa" w:w="3322"/>
          </w:tcPr>
          <w:p>
            <w:pPr>
              <w:pStyle w:val="null3"/>
            </w:pPr>
            <w:r>
              <w:rPr>
                <w:rFonts w:ascii="仿宋_GB2312" w:hAnsi="仿宋_GB2312" w:cs="仿宋_GB2312" w:eastAsia="仿宋_GB2312"/>
              </w:rPr>
              <w:t>满足采购文件要求</w:t>
            </w:r>
          </w:p>
        </w:tc>
        <w:tc>
          <w:tcPr>
            <w:tcW w:type="dxa" w:w="1661"/>
          </w:tcPr>
          <w:p>
            <w:pPr>
              <w:pStyle w:val="null3"/>
            </w:pPr>
            <w:r>
              <w:rPr>
                <w:rFonts w:ascii="仿宋_GB2312" w:hAnsi="仿宋_GB2312" w:cs="仿宋_GB2312" w:eastAsia="仿宋_GB2312"/>
              </w:rPr>
              <w:t>服务方案及业绩.docx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满足磋商文件的要求</w:t>
            </w:r>
          </w:p>
        </w:tc>
        <w:tc>
          <w:tcPr>
            <w:tcW w:type="dxa" w:w="1661"/>
          </w:tcPr>
          <w:p>
            <w:pPr>
              <w:pStyle w:val="null3"/>
            </w:pPr>
            <w:r>
              <w:rPr>
                <w:rFonts w:ascii="仿宋_GB2312" w:hAnsi="仿宋_GB2312" w:cs="仿宋_GB2312" w:eastAsia="仿宋_GB2312"/>
              </w:rPr>
              <w:t>响应文件封面 服务方案及业绩.docx 供应商认为有必要补充说明的事项.docx 标的清单 供应商资格证明文件.docx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响应文件封面 服务方案及业绩.docx 供应商认为有必要补充说明的事项.docx 标的清单 供应商资格证明文件.docx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供应商针对本项目提供详细的项目理解，包括：①对陕西好粮油品牌的定位以及宣传的核心需求；②对服务需求细节的理解；③对陕西好粮油品牌展示核心诉求的认知；根据各供应商响应优劣程度进行赋分。以上内容每缺一项扣4分；每有1处描述缺陷扣2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服务方案及业绩.docx</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实施计划</w:t>
            </w:r>
          </w:p>
        </w:tc>
        <w:tc>
          <w:tcPr>
            <w:tcW w:type="dxa" w:w="2492"/>
          </w:tcPr>
          <w:p>
            <w:pPr>
              <w:pStyle w:val="null3"/>
            </w:pPr>
            <w:r>
              <w:rPr>
                <w:rFonts w:ascii="仿宋_GB2312" w:hAnsi="仿宋_GB2312" w:cs="仿宋_GB2312" w:eastAsia="仿宋_GB2312"/>
              </w:rPr>
              <w:t>供应商针对本项目提供详细的实施计划，包括：①制定从设计定稿、报审以及完成制作的时间表，明确各环节时间节点及责任人，预留应急缓冲时间；②配备项目负责人、设计团队、演艺人员、现场服务人员，人员配备齐全，岗位分工明确，具有丰富的从业经验；③针对设计变更、延期、设备故障、物料损坏等突发情况，制定具体应急预案，明确应急响应流程和责任人员；以上内容每缺一项扣5分；每有1处描述缺陷扣2分，扣完为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服务方案及业绩.docx</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针对本项目提供详细的实施方案，包括：①舞台设计；②活动流程策划；③会场搭建安排；④现场安全保障；⑤物料配置的完备性；⑥有完善的宣传推广方案；⑦结合本项目提出合理化建议；以上内容每缺一项扣5分；每有1处描述缺陷扣2.5分，扣完为止。</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服务方案及业绩.docx</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重难点分析</w:t>
            </w:r>
          </w:p>
        </w:tc>
        <w:tc>
          <w:tcPr>
            <w:tcW w:type="dxa" w:w="2492"/>
          </w:tcPr>
          <w:p>
            <w:pPr>
              <w:pStyle w:val="null3"/>
            </w:pPr>
            <w:r>
              <w:rPr>
                <w:rFonts w:ascii="仿宋_GB2312" w:hAnsi="仿宋_GB2312" w:cs="仿宋_GB2312" w:eastAsia="仿宋_GB2312"/>
              </w:rPr>
              <w:t>供应商针对本项目实施难点、重点分析，包括：①重难点识别的准确性；②针对识别的重难点，制定具体、可操作的解决措施；根据各供应商响应优劣程度进行赋分。 以上内容每缺一项扣4分；每有1处描述缺陷扣2分，扣完为止。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供应商认为有必要补充说明的事项.docx</w:t>
            </w:r>
          </w:p>
          <w:p>
            <w:pPr>
              <w:pStyle w:val="null3"/>
            </w:pPr>
            <w:r>
              <w:rPr>
                <w:rFonts w:ascii="仿宋_GB2312" w:hAnsi="仿宋_GB2312" w:cs="仿宋_GB2312" w:eastAsia="仿宋_GB2312"/>
              </w:rPr>
              <w:t>服务方案及业绩.docx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供应商针对服务期限、质量、人员到位情况、服务响应时间、 后期服务，这五项作出实质性承诺。以上内容每缺一项扣2分；每有1处描述缺陷扣1分，扣完为止。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服务方案及业绩.docx</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供应商提供2022年1月1日至今（中标通知书或合同签订时间为准）同类项目业绩，响应文件中附有完整合同或中标通知书作为业绩证明资料，每提供一个业绩证明计2.5分，满分10分。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供应商认为有必要补充说明的事项.docx</w:t>
            </w:r>
          </w:p>
          <w:p>
            <w:pPr>
              <w:pStyle w:val="null3"/>
            </w:pPr>
            <w:r>
              <w:rPr>
                <w:rFonts w:ascii="仿宋_GB2312" w:hAnsi="仿宋_GB2312" w:cs="仿宋_GB2312" w:eastAsia="仿宋_GB2312"/>
              </w:rPr>
              <w:t>服务方案及业绩.docx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满足磋商文件要求且投标价格最低的投标报价为评标基准价，其价格分为满分。其他投标供应商的价格分统一按照下列公式计算：投标报价得分=（评标基准价/投标报价）×价格权值。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服务方案及业绩.docx</w:t>
            </w:r>
          </w:p>
          <w:p>
            <w:pPr>
              <w:pStyle w:val="null3"/>
            </w:pPr>
            <w:r>
              <w:rPr>
                <w:rFonts w:ascii="仿宋_GB2312" w:hAnsi="仿宋_GB2312" w:cs="仿宋_GB2312" w:eastAsia="仿宋_GB2312"/>
              </w:rPr>
              <w:t>供应商资格证明文件.docx</w:t>
            </w:r>
          </w:p>
          <w:p>
            <w:pPr>
              <w:pStyle w:val="null3"/>
            </w:pPr>
            <w:r>
              <w:rPr>
                <w:rFonts w:ascii="仿宋_GB2312" w:hAnsi="仿宋_GB2312" w:cs="仿宋_GB2312" w:eastAsia="仿宋_GB2312"/>
              </w:rPr>
              <w:t>供应商认为有必要补充说明的事项.docx</w:t>
            </w:r>
          </w:p>
          <w:p>
            <w:pPr>
              <w:pStyle w:val="null3"/>
            </w:pPr>
            <w:r>
              <w:rPr>
                <w:rFonts w:ascii="仿宋_GB2312" w:hAnsi="仿宋_GB2312" w:cs="仿宋_GB2312" w:eastAsia="仿宋_GB2312"/>
              </w:rPr>
              <w:t>响应文件封面</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详见附件：服务方案及业绩.docx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详见附件：供应商认为有必要补充说明的事项.docx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