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BF715">
      <w:pPr>
        <w:spacing w:line="360" w:lineRule="auto"/>
        <w:jc w:val="center"/>
        <w:rPr>
          <w:rFonts w:hint="eastAsia" w:ascii="仿宋" w:hAnsi="仿宋" w:eastAsia="仿宋"/>
          <w:b/>
          <w:bCs w:val="0"/>
          <w:sz w:val="52"/>
          <w:szCs w:val="52"/>
          <w:u w:val="single"/>
          <w:lang w:val="en-US" w:eastAsia="zh-CN"/>
        </w:rPr>
      </w:pPr>
    </w:p>
    <w:p w14:paraId="28DBCEB1">
      <w:pPr>
        <w:spacing w:line="360" w:lineRule="auto"/>
        <w:jc w:val="center"/>
        <w:rPr>
          <w:rFonts w:hint="eastAsia" w:ascii="仿宋" w:hAnsi="仿宋" w:eastAsia="仿宋"/>
          <w:b/>
          <w:bCs w:val="0"/>
          <w:sz w:val="52"/>
          <w:szCs w:val="52"/>
          <w:u w:val="single"/>
          <w:lang w:val="en-US" w:eastAsia="zh-CN"/>
        </w:rPr>
      </w:pPr>
    </w:p>
    <w:p w14:paraId="58EFD0AA">
      <w:pPr>
        <w:spacing w:line="360" w:lineRule="auto"/>
        <w:jc w:val="center"/>
        <w:rPr>
          <w:rFonts w:hint="default" w:ascii="仿宋" w:hAnsi="仿宋" w:eastAsia="仿宋"/>
          <w:b/>
          <w:sz w:val="44"/>
          <w:szCs w:val="44"/>
          <w:u w:val="single"/>
          <w:lang w:val="en-US"/>
        </w:rPr>
      </w:pPr>
      <w:r>
        <w:rPr>
          <w:rFonts w:hint="eastAsia" w:ascii="仿宋" w:hAnsi="仿宋" w:eastAsia="仿宋"/>
          <w:b/>
          <w:bCs w:val="0"/>
          <w:sz w:val="52"/>
          <w:szCs w:val="52"/>
          <w:u w:val="single"/>
          <w:lang w:val="en-US" w:eastAsia="zh-CN"/>
        </w:rPr>
        <w:t xml:space="preserve">    展会名称   </w:t>
      </w:r>
    </w:p>
    <w:p w14:paraId="414BF004">
      <w:pPr>
        <w:spacing w:line="360" w:lineRule="auto"/>
        <w:jc w:val="center"/>
        <w:rPr>
          <w:rFonts w:ascii="仿宋" w:hAnsi="仿宋" w:eastAsia="仿宋"/>
          <w:b/>
          <w:sz w:val="44"/>
          <w:szCs w:val="44"/>
        </w:rPr>
      </w:pPr>
    </w:p>
    <w:p w14:paraId="3315E58B"/>
    <w:p w14:paraId="61DF9A05"/>
    <w:p w14:paraId="7A5FAA28">
      <w:pPr>
        <w:rPr>
          <w:rFonts w:ascii="华文楷体" w:hAnsi="华文楷体" w:eastAsia="华文楷体"/>
          <w:sz w:val="28"/>
          <w:u w:val="single"/>
        </w:rPr>
      </w:pPr>
    </w:p>
    <w:p w14:paraId="51AB5C1B">
      <w:pPr>
        <w:rPr>
          <w:rFonts w:ascii="华文楷体" w:hAnsi="华文楷体" w:eastAsia="华文楷体"/>
          <w:sz w:val="28"/>
          <w:u w:val="single"/>
        </w:rPr>
      </w:pPr>
    </w:p>
    <w:p w14:paraId="196D3A8A">
      <w:pPr>
        <w:rPr>
          <w:rFonts w:ascii="华文楷体" w:hAnsi="华文楷体" w:eastAsia="华文楷体"/>
          <w:sz w:val="28"/>
          <w:u w:val="single"/>
        </w:rPr>
      </w:pPr>
    </w:p>
    <w:p w14:paraId="64F183E6">
      <w:pPr>
        <w:rPr>
          <w:rFonts w:ascii="华文楷体" w:hAnsi="华文楷体" w:eastAsia="华文楷体"/>
          <w:sz w:val="28"/>
          <w:u w:val="single"/>
        </w:rPr>
      </w:pPr>
    </w:p>
    <w:p w14:paraId="34F9ABC0">
      <w:pPr>
        <w:rPr>
          <w:rFonts w:ascii="华文楷体" w:hAnsi="华文楷体" w:eastAsia="华文楷体"/>
          <w:sz w:val="28"/>
          <w:u w:val="single"/>
        </w:rPr>
      </w:pPr>
    </w:p>
    <w:p w14:paraId="4CA2FCBD">
      <w:pPr>
        <w:rPr>
          <w:rFonts w:ascii="华文楷体" w:hAnsi="华文楷体" w:eastAsia="华文楷体"/>
          <w:sz w:val="28"/>
          <w:u w:val="single"/>
        </w:rPr>
      </w:pPr>
    </w:p>
    <w:p w14:paraId="7A9358F7">
      <w:pPr>
        <w:rPr>
          <w:rFonts w:ascii="华文楷体" w:hAnsi="华文楷体" w:eastAsia="华文楷体"/>
          <w:sz w:val="28"/>
          <w:u w:val="single"/>
        </w:rPr>
      </w:pPr>
    </w:p>
    <w:p w14:paraId="1BC628E3">
      <w:pPr>
        <w:rPr>
          <w:rFonts w:ascii="华文楷体" w:hAnsi="华文楷体" w:eastAsia="华文楷体"/>
          <w:sz w:val="28"/>
          <w:u w:val="single"/>
        </w:rPr>
      </w:pPr>
    </w:p>
    <w:p w14:paraId="4403C4A3">
      <w:pPr>
        <w:rPr>
          <w:rFonts w:ascii="华文楷体" w:hAnsi="华文楷体" w:eastAsia="华文楷体"/>
          <w:sz w:val="28"/>
          <w:u w:val="single"/>
        </w:rPr>
      </w:pPr>
    </w:p>
    <w:p w14:paraId="1E7E3E8B">
      <w:pPr>
        <w:rPr>
          <w:rFonts w:hint="eastAsia" w:ascii="仿宋" w:hAnsi="仿宋" w:eastAsia="仿宋"/>
          <w:b/>
          <w:sz w:val="44"/>
          <w:szCs w:val="44"/>
          <w:u w:val="none"/>
        </w:rPr>
      </w:pPr>
      <w:r>
        <w:rPr>
          <w:rFonts w:hint="eastAsia" w:ascii="仿宋" w:hAnsi="仿宋" w:eastAsia="仿宋"/>
          <w:b/>
          <w:sz w:val="44"/>
          <w:szCs w:val="44"/>
          <w:u w:val="none"/>
        </w:rPr>
        <w:br w:type="page"/>
      </w:r>
    </w:p>
    <w:p w14:paraId="78DB73FA">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甲方∶陕西省商务厅</w:t>
      </w:r>
    </w:p>
    <w:p w14:paraId="4BABB691">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rPr>
        <w:t>乙方：</w:t>
      </w:r>
      <w:r>
        <w:rPr>
          <w:rFonts w:hint="eastAsia" w:ascii="宋体" w:hAnsi="宋体" w:eastAsia="宋体" w:cs="宋体"/>
          <w:sz w:val="20"/>
          <w:szCs w:val="20"/>
          <w:lang w:val="en-US" w:eastAsia="zh-CN"/>
        </w:rPr>
        <w:t xml:space="preserve"> </w:t>
      </w:r>
    </w:p>
    <w:p w14:paraId="04039544">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一、合同内容（标的、数量、质量等）</w:t>
      </w:r>
    </w:p>
    <w:p w14:paraId="55CED0B6">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本政府采购合同所附下列文件是构成本政府采购合同不可分割的部分:</w:t>
      </w:r>
    </w:p>
    <w:p w14:paraId="1FE6BD5F">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1.磋商文件;</w:t>
      </w:r>
    </w:p>
    <w:p w14:paraId="7DA26051">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2.磋商公告;</w:t>
      </w:r>
    </w:p>
    <w:p w14:paraId="16F063FF">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3.乙方提交的磋商响应文件;</w:t>
      </w:r>
    </w:p>
    <w:p w14:paraId="59B07A11">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4.政府采购合同条款;</w:t>
      </w:r>
      <w:bookmarkStart w:id="0" w:name="_GoBack"/>
      <w:bookmarkEnd w:id="0"/>
    </w:p>
    <w:p w14:paraId="5E90260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5.成交通知书;</w:t>
      </w:r>
    </w:p>
    <w:p w14:paraId="7D2C793E">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6.政府采购合同的其它附件。</w:t>
      </w:r>
    </w:p>
    <w:p w14:paraId="2A18DF78">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二、合同价款</w:t>
      </w:r>
    </w:p>
    <w:p w14:paraId="465846D4">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合同总价∶人民币</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元整）</w:t>
      </w:r>
    </w:p>
    <w:p w14:paraId="4A744C5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合同总价即中标价，为一次性报价，不受市场价变化影响</w:t>
      </w:r>
      <w:r>
        <w:rPr>
          <w:rFonts w:hint="eastAsia" w:ascii="宋体" w:hAnsi="宋体" w:eastAsia="宋体" w:cs="宋体"/>
          <w:sz w:val="20"/>
          <w:szCs w:val="20"/>
          <w:lang w:eastAsia="zh-CN"/>
        </w:rPr>
        <w:t>。</w:t>
      </w:r>
      <w:r>
        <w:rPr>
          <w:rFonts w:hint="eastAsia" w:ascii="宋体" w:hAnsi="宋体" w:eastAsia="宋体" w:cs="宋体"/>
          <w:sz w:val="20"/>
          <w:szCs w:val="20"/>
        </w:rPr>
        <w:t>合同价格为含税价，乙方（成交人）提供服务所发生的服务费、税费（包括增值税）等都已包含于合同价款中。</w:t>
      </w:r>
    </w:p>
    <w:p w14:paraId="09C58554">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三、合同结算</w:t>
      </w:r>
    </w:p>
    <w:p w14:paraId="04376723">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rPr>
        <w:t>1</w:t>
      </w:r>
      <w:r>
        <w:rPr>
          <w:rFonts w:hint="eastAsia" w:ascii="宋体" w:hAnsi="宋体" w:eastAsia="宋体" w:cs="宋体"/>
          <w:sz w:val="20"/>
          <w:szCs w:val="20"/>
          <w:lang w:val="en-US" w:eastAsia="zh-CN"/>
        </w:rPr>
        <w:t>.合同签订后15个工作日内支付合同总价款的70%；项目完成交付验收合格后，15个工作日内支付合同总价款的30%。</w:t>
      </w:r>
    </w:p>
    <w:p w14:paraId="08095956">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支付方式：银行转账</w:t>
      </w:r>
    </w:p>
    <w:p w14:paraId="7E0C02C3">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四、服务期、地点</w:t>
      </w:r>
    </w:p>
    <w:p w14:paraId="5D12FC21">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服务期：合同签订之日起至展会结束后30日（需按采购人要求提供活动相关资料）。</w:t>
      </w:r>
    </w:p>
    <w:p w14:paraId="0DBE3473">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default" w:ascii="宋体" w:hAnsi="宋体" w:eastAsia="宋体" w:cs="宋体"/>
          <w:sz w:val="20"/>
          <w:szCs w:val="20"/>
          <w:lang w:val="en-US" w:eastAsia="zh-CN"/>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地点：</w:t>
      </w:r>
      <w:r>
        <w:rPr>
          <w:rFonts w:hint="eastAsia" w:ascii="宋体" w:hAnsi="宋体" w:eastAsia="宋体" w:cs="宋体"/>
          <w:sz w:val="20"/>
          <w:szCs w:val="20"/>
          <w:lang w:val="en-US" w:eastAsia="zh-CN"/>
        </w:rPr>
        <w:t>采购人指定地点。</w:t>
      </w:r>
    </w:p>
    <w:p w14:paraId="2D81D3A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五、服务内容和要求</w:t>
      </w:r>
    </w:p>
    <w:p w14:paraId="0EF23805">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服务内容：</w:t>
      </w:r>
    </w:p>
    <w:p w14:paraId="2B060B8F">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cs="宋体"/>
          <w:sz w:val="20"/>
          <w:szCs w:val="20"/>
          <w:lang w:eastAsia="zh-CN"/>
        </w:rPr>
        <w:t>（</w:t>
      </w:r>
      <w:r>
        <w:rPr>
          <w:rFonts w:hint="eastAsia" w:ascii="宋体" w:hAnsi="宋体" w:cs="宋体"/>
          <w:sz w:val="20"/>
          <w:szCs w:val="20"/>
          <w:lang w:val="en-US" w:eastAsia="zh-CN"/>
        </w:rPr>
        <w:t>1</w:t>
      </w:r>
      <w:r>
        <w:rPr>
          <w:rFonts w:hint="eastAsia" w:ascii="宋体" w:hAnsi="宋体" w:cs="宋体"/>
          <w:sz w:val="20"/>
          <w:szCs w:val="20"/>
          <w:lang w:eastAsia="zh-CN"/>
        </w:rPr>
        <w:t>）</w:t>
      </w:r>
      <w:r>
        <w:rPr>
          <w:rFonts w:hint="eastAsia" w:ascii="宋体" w:hAnsi="宋体" w:eastAsia="宋体" w:cs="宋体"/>
          <w:sz w:val="20"/>
          <w:szCs w:val="20"/>
        </w:rPr>
        <w:t>负责与展会组织方或展会国内一级代理机构联系确定展会展位，并组织我省企业参加展会。其中组织企业数不少于10家（以实际企业法人予以认定，少于10家不予支持）；每家企业补贴1个标准展位，参展企业中无进出口业绩企业不得超过参展企业总数的50%。</w:t>
      </w:r>
    </w:p>
    <w:p w14:paraId="158D8C47">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cs="宋体"/>
          <w:sz w:val="20"/>
          <w:szCs w:val="20"/>
          <w:lang w:eastAsia="zh-CN"/>
        </w:rPr>
        <w:t>（</w:t>
      </w:r>
      <w:r>
        <w:rPr>
          <w:rFonts w:hint="eastAsia" w:ascii="宋体" w:hAnsi="宋体" w:cs="宋体"/>
          <w:sz w:val="20"/>
          <w:szCs w:val="20"/>
          <w:lang w:val="en-US" w:eastAsia="zh-CN"/>
        </w:rPr>
        <w:t>2</w:t>
      </w:r>
      <w:r>
        <w:rPr>
          <w:rFonts w:hint="eastAsia" w:ascii="宋体" w:hAnsi="宋体" w:cs="宋体"/>
          <w:sz w:val="20"/>
          <w:szCs w:val="20"/>
          <w:lang w:eastAsia="zh-CN"/>
        </w:rPr>
        <w:t>）</w:t>
      </w:r>
      <w:r>
        <w:rPr>
          <w:rFonts w:hint="eastAsia" w:ascii="宋体" w:hAnsi="宋体" w:eastAsia="宋体" w:cs="宋体"/>
          <w:sz w:val="20"/>
          <w:szCs w:val="20"/>
        </w:rPr>
        <w:t>负责组织参展企业人员有关商务礼仪、谈判技巧、产品报价、出国纪律等方面内容的培训，负责办理参展企业人员出国手续，组织企业人员按时参加展会，并负责安排参展人员食宿及交通、展会期间翻译等事项，承办单位必须不少于2人全程参与展会的组织；并负责办理展品物流及清关、展位搭建、新闻宣传和团组安全等工作。</w:t>
      </w:r>
    </w:p>
    <w:p w14:paraId="17772638">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cs="宋体"/>
          <w:sz w:val="20"/>
          <w:szCs w:val="20"/>
          <w:lang w:eastAsia="zh-CN"/>
        </w:rPr>
        <w:t>（</w:t>
      </w:r>
      <w:r>
        <w:rPr>
          <w:rFonts w:hint="eastAsia" w:ascii="宋体" w:hAnsi="宋体" w:cs="宋体"/>
          <w:sz w:val="20"/>
          <w:szCs w:val="20"/>
          <w:lang w:val="en-US" w:eastAsia="zh-CN"/>
        </w:rPr>
        <w:t>3</w:t>
      </w:r>
      <w:r>
        <w:rPr>
          <w:rFonts w:hint="eastAsia" w:ascii="宋体" w:hAnsi="宋体" w:cs="宋体"/>
          <w:sz w:val="20"/>
          <w:szCs w:val="20"/>
          <w:lang w:eastAsia="zh-CN"/>
        </w:rPr>
        <w:t>）</w:t>
      </w:r>
      <w:r>
        <w:rPr>
          <w:rFonts w:hint="eastAsia" w:ascii="宋体" w:hAnsi="宋体" w:eastAsia="宋体" w:cs="宋体"/>
          <w:sz w:val="20"/>
          <w:szCs w:val="20"/>
        </w:rPr>
        <w:t>负责做好参展企业的展品运输及报关、报检等相关手续；</w:t>
      </w:r>
    </w:p>
    <w:p w14:paraId="249B92E8">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eastAsia="宋体" w:cs="宋体"/>
          <w:sz w:val="20"/>
          <w:szCs w:val="20"/>
        </w:rPr>
        <w:t>负责做好公共布展，其中每家企业公共布展补助费不超过5000元，公共布展费用补助上限为6万元；</w:t>
      </w:r>
    </w:p>
    <w:p w14:paraId="32FFE23F">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cs="宋体"/>
          <w:sz w:val="20"/>
          <w:szCs w:val="20"/>
          <w:lang w:eastAsia="zh-CN"/>
        </w:rPr>
        <w:t>（</w:t>
      </w:r>
      <w:r>
        <w:rPr>
          <w:rFonts w:hint="eastAsia" w:ascii="宋体" w:hAnsi="宋体" w:cs="宋体"/>
          <w:sz w:val="20"/>
          <w:szCs w:val="20"/>
          <w:lang w:val="en-US" w:eastAsia="zh-CN"/>
        </w:rPr>
        <w:t>5</w:t>
      </w:r>
      <w:r>
        <w:rPr>
          <w:rFonts w:hint="eastAsia" w:ascii="宋体" w:hAnsi="宋体" w:cs="宋体"/>
          <w:sz w:val="20"/>
          <w:szCs w:val="20"/>
          <w:lang w:eastAsia="zh-CN"/>
        </w:rPr>
        <w:t>）</w:t>
      </w:r>
      <w:r>
        <w:rPr>
          <w:rFonts w:hint="eastAsia" w:ascii="宋体" w:hAnsi="宋体" w:eastAsia="宋体" w:cs="宋体"/>
          <w:sz w:val="20"/>
          <w:szCs w:val="20"/>
        </w:rPr>
        <w:t>负责先行垫付展位费，标准内的运输费及报关、报检费用和标准内的公共布展费用以及人员境外食宿补贴，待展会结束后由商务厅按标准核销；</w:t>
      </w:r>
    </w:p>
    <w:p w14:paraId="7EC989B2">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cs="宋体"/>
          <w:sz w:val="20"/>
          <w:szCs w:val="20"/>
          <w:lang w:eastAsia="zh-CN"/>
        </w:rPr>
        <w:t>（</w:t>
      </w:r>
      <w:r>
        <w:rPr>
          <w:rFonts w:hint="eastAsia" w:ascii="宋体" w:hAnsi="宋体" w:cs="宋体"/>
          <w:sz w:val="20"/>
          <w:szCs w:val="20"/>
          <w:lang w:val="en-US" w:eastAsia="zh-CN"/>
        </w:rPr>
        <w:t>6</w:t>
      </w:r>
      <w:r>
        <w:rPr>
          <w:rFonts w:hint="eastAsia" w:ascii="宋体" w:hAnsi="宋体" w:cs="宋体"/>
          <w:sz w:val="20"/>
          <w:szCs w:val="20"/>
          <w:lang w:eastAsia="zh-CN"/>
        </w:rPr>
        <w:t>）</w:t>
      </w:r>
      <w:r>
        <w:rPr>
          <w:rFonts w:hint="eastAsia" w:ascii="宋体" w:hAnsi="宋体" w:eastAsia="宋体" w:cs="宋体"/>
          <w:sz w:val="20"/>
          <w:szCs w:val="20"/>
        </w:rPr>
        <w:t>承办单位服务为10万元。</w:t>
      </w:r>
    </w:p>
    <w:p w14:paraId="576ABD23">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cs="宋体"/>
          <w:sz w:val="20"/>
          <w:szCs w:val="20"/>
          <w:lang w:eastAsia="zh-CN"/>
        </w:rPr>
        <w:t>（</w:t>
      </w:r>
      <w:r>
        <w:rPr>
          <w:rFonts w:hint="eastAsia" w:ascii="宋体" w:hAnsi="宋体" w:cs="宋体"/>
          <w:sz w:val="20"/>
          <w:szCs w:val="20"/>
          <w:lang w:val="en-US" w:eastAsia="zh-CN"/>
        </w:rPr>
        <w:t>7</w:t>
      </w:r>
      <w:r>
        <w:rPr>
          <w:rFonts w:hint="eastAsia" w:ascii="宋体" w:hAnsi="宋体" w:cs="宋体"/>
          <w:sz w:val="20"/>
          <w:szCs w:val="20"/>
          <w:lang w:eastAsia="zh-CN"/>
        </w:rPr>
        <w:t>）</w:t>
      </w:r>
      <w:r>
        <w:rPr>
          <w:rFonts w:hint="eastAsia" w:ascii="宋体" w:hAnsi="宋体" w:eastAsia="宋体" w:cs="宋体"/>
          <w:sz w:val="20"/>
          <w:szCs w:val="20"/>
        </w:rPr>
        <w:t>服务期限：合同签订之日起至展会结束后30日（需按采购人要求提供活动相关资料）</w:t>
      </w:r>
    </w:p>
    <w:p w14:paraId="1F6D1F1F">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要求：完成企业组展招展、展位预定、展前培训、展品运输、会期服务、展会总结和费用核销等全流程工作。</w:t>
      </w:r>
    </w:p>
    <w:p w14:paraId="0DAF18A2">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六、双方权利与义务</w:t>
      </w:r>
    </w:p>
    <w:p w14:paraId="6A20AD7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甲方权利与义务。</w:t>
      </w:r>
    </w:p>
    <w:p w14:paraId="796C81C8">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（1）甲方提供乙方开始实施项目中所需的必要资料等;</w:t>
      </w:r>
    </w:p>
    <w:p w14:paraId="145D5DCE">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（2）甲方按照合同要求核销、结算支付合同价款;</w:t>
      </w:r>
    </w:p>
    <w:p w14:paraId="04878B5B">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乙方权利与义务。</w:t>
      </w:r>
    </w:p>
    <w:p w14:paraId="59DB34C5">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（1）乙方应按照服务要求完成本次合同约定的全部服务要求;</w:t>
      </w:r>
    </w:p>
    <w:p w14:paraId="62E9360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（2）乙方按照合同要求提供核销、结算发票及甲方要求的相关资料等。</w:t>
      </w:r>
    </w:p>
    <w:p w14:paraId="486E545C">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七、违约责任</w:t>
      </w:r>
    </w:p>
    <w:p w14:paraId="5194B101">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除本合同另有约定外，任意一方违反本合同约定，违约方应按《中华人民共和国民法典》规定承担相应违约责任。</w:t>
      </w:r>
    </w:p>
    <w:p w14:paraId="3362B054">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乙方履约延误</w:t>
      </w:r>
    </w:p>
    <w:p w14:paraId="3A7611BA">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（1）如乙方事先未征得甲方同意并得到甲方的谅解而单方面延迟执行合同，应按合同总价款20%向甲方支付违约金，同时，甲方有权单方终止合同。</w:t>
      </w:r>
    </w:p>
    <w:p w14:paraId="6334C7D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在履行合同过程中，如果乙方遇到可能妨碍按时提供服务的情况，应及时以书面形式将拖延的事实，可能拖延的期限和理由通知甲方。甲方在收到乙方通知后，应尽快对情况进行评价，并确定是否通过修改合同，酌情延长或修改服务时间或对乙方加收误期赔偿金。</w:t>
      </w:r>
    </w:p>
    <w:p w14:paraId="7C10740C">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rPr>
        <w:t>3</w:t>
      </w:r>
      <w:r>
        <w:rPr>
          <w:rFonts w:hint="eastAsia" w:ascii="宋体" w:hAnsi="宋体" w:eastAsia="宋体" w:cs="宋体"/>
          <w:sz w:val="20"/>
          <w:szCs w:val="20"/>
          <w:lang w:val="en-US" w:eastAsia="zh-CN"/>
        </w:rPr>
        <w:t>.</w:t>
      </w:r>
      <w:r>
        <w:rPr>
          <w:rFonts w:hint="eastAsia" w:ascii="宋体" w:hAnsi="宋体" w:eastAsia="宋体" w:cs="宋体"/>
          <w:sz w:val="20"/>
          <w:szCs w:val="20"/>
        </w:rPr>
        <w:t>违约终止合同∶未按合同要求提供服务或不能满足服务标准的，甲方有权终止合同，对乙方违约行为进行追究，同时报政府采购监督机构按政府采购法的有关规定进行相应的处罚</w:t>
      </w:r>
      <w:r>
        <w:rPr>
          <w:rFonts w:hint="eastAsia" w:ascii="宋体" w:hAnsi="宋体" w:eastAsia="宋体" w:cs="宋体"/>
          <w:sz w:val="20"/>
          <w:szCs w:val="20"/>
          <w:lang w:eastAsia="zh-CN"/>
        </w:rPr>
        <w:t>。</w:t>
      </w:r>
    </w:p>
    <w:p w14:paraId="0DAA05F4">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4</w:t>
      </w:r>
      <w:r>
        <w:rPr>
          <w:rFonts w:hint="eastAsia" w:ascii="宋体" w:hAnsi="宋体" w:eastAsia="宋体" w:cs="宋体"/>
          <w:sz w:val="20"/>
          <w:szCs w:val="20"/>
          <w:lang w:val="en-US" w:eastAsia="zh-CN"/>
        </w:rPr>
        <w:t>.</w:t>
      </w:r>
      <w:r>
        <w:rPr>
          <w:rFonts w:hint="eastAsia" w:ascii="宋体" w:hAnsi="宋体" w:eastAsia="宋体" w:cs="宋体"/>
          <w:sz w:val="20"/>
          <w:szCs w:val="20"/>
        </w:rPr>
        <w:t>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336BF03C">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rPr>
        <w:t>5</w:t>
      </w:r>
      <w:r>
        <w:rPr>
          <w:rFonts w:hint="eastAsia" w:ascii="宋体" w:hAnsi="宋体" w:eastAsia="宋体" w:cs="宋体"/>
          <w:sz w:val="20"/>
          <w:szCs w:val="20"/>
          <w:lang w:val="en-US" w:eastAsia="zh-CN"/>
        </w:rPr>
        <w:t>.</w:t>
      </w:r>
      <w:r>
        <w:rPr>
          <w:rFonts w:hint="eastAsia" w:ascii="宋体" w:hAnsi="宋体" w:eastAsia="宋体" w:cs="宋体"/>
          <w:sz w:val="20"/>
          <w:szCs w:val="20"/>
        </w:rPr>
        <w:t>乙方不得对业务进行分包或转包。否则甲方有权终止合同，乙方承担由此造成的一切经济损失</w:t>
      </w:r>
      <w:r>
        <w:rPr>
          <w:rFonts w:hint="eastAsia" w:ascii="宋体" w:hAnsi="宋体" w:eastAsia="宋体" w:cs="宋体"/>
          <w:sz w:val="20"/>
          <w:szCs w:val="20"/>
          <w:lang w:eastAsia="zh-CN"/>
        </w:rPr>
        <w:t>。</w:t>
      </w:r>
    </w:p>
    <w:p w14:paraId="3AE31F96">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6</w:t>
      </w:r>
      <w:r>
        <w:rPr>
          <w:rFonts w:hint="eastAsia" w:ascii="宋体" w:hAnsi="宋体" w:eastAsia="宋体" w:cs="宋体"/>
          <w:sz w:val="20"/>
          <w:szCs w:val="20"/>
          <w:lang w:val="en-US" w:eastAsia="zh-CN"/>
        </w:rPr>
        <w:t>.</w:t>
      </w:r>
      <w:r>
        <w:rPr>
          <w:rFonts w:hint="eastAsia" w:ascii="宋体" w:hAnsi="宋体" w:eastAsia="宋体" w:cs="宋体"/>
          <w:sz w:val="20"/>
          <w:szCs w:val="20"/>
        </w:rPr>
        <w:t>乙方不得在服务期间对项目管理人员进行更换，如遇特殊情况须经甲方同意。甲方发现项目管理人员工作不力时，有权提出更换人员，更换人员必须及时到场。</w:t>
      </w:r>
    </w:p>
    <w:p w14:paraId="724424B5">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八、解决争议的方法</w:t>
      </w:r>
    </w:p>
    <w:p w14:paraId="64261742">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凡因本合同引起的或与本合同有关的争议，双方应友好协商解决。协商不成时，双方均同意向甲方所在地有管辖权的人民法院提起诉讼。甲乙双方在合同中载明的住所地（如约定指定送达地址，以指定送达地址为准）可作为送达函件、对账单及诉讼等其他法律文书的送达地址，因载明的地址有误或未及时告知变更后的地址，导致相关文书未能实际被接收的、邮寄送达的，相关法律文书或函件退回之日即视为送达之日。</w:t>
      </w:r>
    </w:p>
    <w:p w14:paraId="60704A7A">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九、不可抗力</w:t>
      </w:r>
    </w:p>
    <w:p w14:paraId="06B2207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不可抗力”是本合同双方不能合理控制、不可预见或即使预见赤无法避免的事件，该事件妨碍、影响或延误任何一方根据合同履行其全部或部分义务。该事件包括政府行为、疫情、自然灾害、战争或任何其他类似事件。</w:t>
      </w:r>
    </w:p>
    <w:p w14:paraId="21C7C7C0">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出现不可抗力事件时，知情方应及时、充分地以书面形式通知对方，并告知该类事件对本合同可能产生的影响，并应当在合理期限内提供相关官方证明。</w:t>
      </w:r>
    </w:p>
    <w:p w14:paraId="126E8F91">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3</w:t>
      </w:r>
      <w:r>
        <w:rPr>
          <w:rFonts w:hint="eastAsia" w:ascii="宋体" w:hAnsi="宋体" w:eastAsia="宋体" w:cs="宋体"/>
          <w:sz w:val="20"/>
          <w:szCs w:val="20"/>
          <w:lang w:val="en-US" w:eastAsia="zh-CN"/>
        </w:rPr>
        <w:t>.</w:t>
      </w:r>
      <w:r>
        <w:rPr>
          <w:rFonts w:hint="eastAsia" w:ascii="宋体" w:hAnsi="宋体" w:eastAsia="宋体" w:cs="宋体"/>
          <w:sz w:val="20"/>
          <w:szCs w:val="20"/>
        </w:rPr>
        <w:t>由于以上所述不可抗力事件致使本合同不能履行或延迟履行，则双方均不需承担任何违约责任。双方可就合同履行等事项另行协商确定。</w:t>
      </w:r>
    </w:p>
    <w:p w14:paraId="5DD7C88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十、合同生效及其它</w:t>
      </w:r>
    </w:p>
    <w:p w14:paraId="068FE7A7">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w:t>
      </w:r>
      <w:r>
        <w:rPr>
          <w:rFonts w:hint="eastAsia" w:ascii="宋体" w:hAnsi="宋体" w:eastAsia="宋体" w:cs="宋体"/>
          <w:sz w:val="20"/>
          <w:szCs w:val="20"/>
        </w:rPr>
        <w:t>合同未尽事宜、由甲、乙双方协商并签订补充协议予以确定，补充协议与本合同具有同等法律效力。</w:t>
      </w:r>
    </w:p>
    <w:p w14:paraId="779529C2">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w:t>
      </w:r>
      <w:r>
        <w:rPr>
          <w:rFonts w:hint="eastAsia" w:ascii="宋体" w:hAnsi="宋体" w:eastAsia="宋体" w:cs="宋体"/>
          <w:sz w:val="20"/>
          <w:szCs w:val="20"/>
        </w:rPr>
        <w:t>本合同一式柒份，甲方执肆份、乙方执贰份，陕西省采购招标有限责任公司备案壹份，均具有同等法律效力。</w:t>
      </w:r>
    </w:p>
    <w:p w14:paraId="48FB89D1">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3.</w:t>
      </w:r>
      <w:r>
        <w:rPr>
          <w:rFonts w:hint="eastAsia" w:ascii="宋体" w:hAnsi="宋体" w:eastAsia="宋体" w:cs="宋体"/>
          <w:sz w:val="20"/>
          <w:szCs w:val="20"/>
        </w:rPr>
        <w:t>合同经甲方负责人或其授权代表、乙方法定代表人或其授权代表签字并加盖双方公章后生效，合同签订地点为西安市。</w:t>
      </w:r>
    </w:p>
    <w:p w14:paraId="119FEF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both"/>
        <w:textAlignment w:val="auto"/>
        <w:rPr>
          <w:rFonts w:hint="eastAsia" w:ascii="宋体" w:hAnsi="宋体" w:eastAsia="宋体" w:cs="宋体"/>
          <w:sz w:val="20"/>
          <w:szCs w:val="20"/>
        </w:rPr>
      </w:pPr>
    </w:p>
    <w:p w14:paraId="3E3D19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both"/>
        <w:textAlignment w:val="auto"/>
        <w:rPr>
          <w:rFonts w:hint="eastAsia" w:ascii="宋体" w:hAnsi="宋体" w:eastAsia="宋体" w:cs="宋体"/>
          <w:sz w:val="20"/>
          <w:szCs w:val="20"/>
        </w:rPr>
      </w:pPr>
    </w:p>
    <w:p w14:paraId="1794B5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both"/>
        <w:textAlignment w:val="auto"/>
        <w:rPr>
          <w:rFonts w:hint="eastAsia" w:ascii="宋体" w:hAnsi="宋体" w:eastAsia="宋体" w:cs="宋体"/>
          <w:sz w:val="20"/>
          <w:szCs w:val="20"/>
        </w:rPr>
      </w:pPr>
    </w:p>
    <w:p w14:paraId="41EEFD4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both"/>
        <w:textAlignment w:val="auto"/>
        <w:rPr>
          <w:rFonts w:hint="eastAsia" w:ascii="宋体" w:hAnsi="宋体" w:eastAsia="宋体" w:cs="宋体"/>
          <w:sz w:val="20"/>
          <w:szCs w:val="20"/>
        </w:rPr>
      </w:pPr>
    </w:p>
    <w:p w14:paraId="2B3FC9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both"/>
        <w:textAlignment w:val="auto"/>
        <w:rPr>
          <w:rFonts w:hint="eastAsia" w:ascii="宋体" w:hAnsi="宋体" w:eastAsia="宋体" w:cs="宋体"/>
          <w:sz w:val="20"/>
          <w:szCs w:val="20"/>
        </w:rPr>
      </w:pPr>
    </w:p>
    <w:p w14:paraId="420D84B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both"/>
        <w:textAlignment w:val="auto"/>
        <w:rPr>
          <w:rFonts w:hint="eastAsia" w:ascii="宋体" w:hAnsi="宋体" w:eastAsia="宋体" w:cs="宋体"/>
          <w:sz w:val="20"/>
          <w:szCs w:val="20"/>
        </w:rPr>
      </w:pPr>
    </w:p>
    <w:p w14:paraId="0ED6C9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both"/>
        <w:textAlignment w:val="auto"/>
        <w:rPr>
          <w:rFonts w:hint="eastAsia" w:ascii="宋体" w:hAnsi="宋体" w:eastAsia="宋体" w:cs="宋体"/>
          <w:sz w:val="20"/>
          <w:szCs w:val="20"/>
        </w:rPr>
      </w:pPr>
    </w:p>
    <w:p w14:paraId="4D2AAD8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both"/>
        <w:textAlignment w:val="auto"/>
        <w:rPr>
          <w:rFonts w:hint="eastAsia" w:ascii="宋体" w:hAnsi="宋体" w:eastAsia="宋体" w:cs="宋体"/>
          <w:sz w:val="20"/>
          <w:szCs w:val="20"/>
        </w:rPr>
      </w:pPr>
    </w:p>
    <w:p w14:paraId="161A7C3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both"/>
        <w:textAlignment w:val="auto"/>
        <w:rPr>
          <w:rFonts w:hint="eastAsia" w:ascii="宋体" w:hAnsi="宋体" w:eastAsia="宋体" w:cs="宋体"/>
          <w:sz w:val="20"/>
          <w:szCs w:val="20"/>
        </w:rPr>
      </w:pPr>
    </w:p>
    <w:p w14:paraId="7F2B3A90">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（以下无正文，为合同盖章签署页）</w:t>
      </w:r>
    </w:p>
    <w:p w14:paraId="4401A06A">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p>
    <w:p w14:paraId="6FF59B7E">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甲方名称（盖章）：陕西省商务厅</w:t>
      </w:r>
    </w:p>
    <w:p w14:paraId="43FB15F7">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负责人或授权代表（签字）：</w:t>
      </w:r>
    </w:p>
    <w:p w14:paraId="31D92FFC">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纳税人识别号：11610000016000048C</w:t>
      </w:r>
    </w:p>
    <w:p w14:paraId="410CDD54">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银行账号：78660188000031562</w:t>
      </w:r>
    </w:p>
    <w:p w14:paraId="369F0D87">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开户银行：中国光大银行西安分行营业部</w:t>
      </w:r>
    </w:p>
    <w:p w14:paraId="3E1A377C">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p>
    <w:p w14:paraId="14D79F07">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p>
    <w:p w14:paraId="0F48CAB3">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rPr>
        <w:t>乙方名称（盖章）：</w:t>
      </w:r>
      <w:r>
        <w:rPr>
          <w:rFonts w:hint="eastAsia" w:ascii="宋体" w:hAnsi="宋体" w:eastAsia="宋体" w:cs="宋体"/>
          <w:sz w:val="20"/>
          <w:szCs w:val="20"/>
          <w:lang w:val="en-US" w:eastAsia="zh-CN"/>
        </w:rPr>
        <w:t xml:space="preserve"> </w:t>
      </w:r>
    </w:p>
    <w:p w14:paraId="58AE4CD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负责人或授权代表（签字）：</w:t>
      </w:r>
    </w:p>
    <w:p w14:paraId="546EA4C6">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账户名称：</w:t>
      </w:r>
    </w:p>
    <w:p w14:paraId="0998F546">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纳税人识别号：</w:t>
      </w:r>
    </w:p>
    <w:p w14:paraId="39003D9D">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银行账号：</w:t>
      </w:r>
    </w:p>
    <w:p w14:paraId="2D7A66A5">
      <w:pPr>
        <w:keepNext w:val="0"/>
        <w:keepLines w:val="0"/>
        <w:pageBreakBefore w:val="0"/>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开户银行：</w:t>
      </w:r>
    </w:p>
    <w:p w14:paraId="316E83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7148ED"/>
    <w:rsid w:val="626D4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2026-02-28T07:02:31Z</dcterms:created>
  <dc:creator>Administrator</dc:creator>
  <cp:lastModifiedBy>Jun</cp:lastModifiedBy>
  <dcterms:modified xsi:type="dcterms:W3CDTF">2026-02-28T07:07:55Z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eyJoZGlkIjoiNTdiYzNlMzRkZTc3MGM3YjQxNTBlMTcyYWQzMGNlNmQiLCJ1c2VySWQiOiIyNTQ0OTA1OTQifQ==</vt:lpwstr>
  </property>
  <property fmtid="{D5CDD505-2E9C-101B-9397-08002B2CF9AE}" pid="4" name="ICV">
    <vt:lpwstr>9BFAC6B11D7A44439B4233314F75A8D7_12</vt:lpwstr>
  </property>
</Properties>
</file>