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版本号：SZT2026-SN-SC-ZC-HW-017520260316001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（阴阳）离子色谱仪采购项目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SZT2026-SN-SC-ZC-HW-0175</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（阴阳）离子色谱仪采购项目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（阴阳）离子色谱仪采购项目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（阴阳）离子色谱仪采购。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说明：1.合同签订前，中标人须向采购人提交合同总价的5.0%作为履约保证金；2.产品交付并由采购人验收合格后，中标人申请，采购人将履约保证金（无息）退还中标人。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按照中标金额差额定率累进法下浮10%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（阴阳）离子色谱仪采购。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（阴阳）离子色谱仪采购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标的名称：（阴阳）离子色谱仪采购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93"/>
              <w:gridCol w:w="208"/>
              <w:gridCol w:w="1952"/>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性能要求</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1、仪器适用于样品中无机阴、阳离子等物质的分析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仪器组成：电子六通道进样阀、电导检测器、高压泵、在线双脱气机、阴离子分析柱及保护柱、阳离子分析柱及保护柱、化学抑制器、柱温箱、脱气机、双通道升级模块、工作站（含原版中文系统操控软件）、自动进样器、数据处理及图像处理设备</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2）具备与ICPMS、LCMSMS、QTOF、滴定仪、伏安极谱仪等设备串接使用的功能。</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配置要求</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主要参数：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实现单台设备阴阳离子一次进样全分析的目的，具备双色谱泵及流路设计，分别对阴、阳离子独立进样分析。（需提供设备结构解析图证明）</w:t>
                  </w:r>
                </w:p>
                <w:p>
                  <w:pPr>
                    <w:pStyle w:val="null3"/>
                    <w:jc w:val="both"/>
                  </w:pPr>
                  <w:r>
                    <w:rPr>
                      <w:rFonts w:ascii="仿宋_GB2312" w:hAnsi="仿宋_GB2312" w:cs="仿宋_GB2312" w:eastAsia="仿宋_GB2312"/>
                      <w:sz w:val="19"/>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耐压范围：最大耐压不低于45Mpa</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19"/>
                    </w:rPr>
                    <w:t xml:space="preserve"> </w:t>
                  </w:r>
                  <w:r>
                    <w:rPr>
                      <w:rFonts w:ascii="仿宋_GB2312" w:hAnsi="仿宋_GB2312" w:cs="仿宋_GB2312" w:eastAsia="仿宋_GB2312"/>
                      <w:sz w:val="21"/>
                    </w:rPr>
                    <w:t>流速范围：0.001-20.000mL/min</w:t>
                  </w:r>
                </w:p>
                <w:p>
                  <w:pPr>
                    <w:pStyle w:val="null3"/>
                    <w:ind w:firstLine="210"/>
                    <w:jc w:val="both"/>
                  </w:pPr>
                  <w:r>
                    <w:rPr>
                      <w:rFonts w:ascii="仿宋_GB2312" w:hAnsi="仿宋_GB2312" w:cs="仿宋_GB2312" w:eastAsia="仿宋_GB2312"/>
                      <w:sz w:val="19"/>
                    </w:rPr>
                    <w:t>4）电导池体积</w:t>
                  </w:r>
                  <w:r>
                    <w:rPr>
                      <w:rFonts w:ascii="仿宋_GB2312" w:hAnsi="仿宋_GB2312" w:cs="仿宋_GB2312" w:eastAsia="仿宋_GB2312"/>
                      <w:sz w:val="19"/>
                    </w:rPr>
                    <w:t>≤0.</w:t>
                  </w:r>
                  <w:r>
                    <w:rPr>
                      <w:rFonts w:ascii="仿宋_GB2312" w:hAnsi="仿宋_GB2312" w:cs="仿宋_GB2312" w:eastAsia="仿宋_GB2312"/>
                      <w:sz w:val="19"/>
                    </w:rPr>
                    <w:t>3</w:t>
                  </w:r>
                  <w:r>
                    <w:rPr>
                      <w:rFonts w:ascii="仿宋_GB2312" w:hAnsi="仿宋_GB2312" w:cs="仿宋_GB2312" w:eastAsia="仿宋_GB2312"/>
                      <w:sz w:val="19"/>
                    </w:rPr>
                    <w:t>µ</w:t>
                  </w:r>
                  <w:r>
                    <w:rPr>
                      <w:rFonts w:ascii="仿宋_GB2312" w:hAnsi="仿宋_GB2312" w:cs="仿宋_GB2312" w:eastAsia="仿宋_GB2312"/>
                      <w:sz w:val="19"/>
                    </w:rPr>
                    <w:t>L</w:t>
                  </w:r>
                </w:p>
                <w:p>
                  <w:pPr>
                    <w:pStyle w:val="null3"/>
                    <w:jc w:val="both"/>
                  </w:pPr>
                  <w:r>
                    <w:rPr>
                      <w:rFonts w:ascii="仿宋_GB2312" w:hAnsi="仿宋_GB2312" w:cs="仿宋_GB2312" w:eastAsia="仿宋_GB2312"/>
                      <w:sz w:val="19"/>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最低检出限</w:t>
                  </w:r>
                  <w:r>
                    <w:rPr>
                      <w:rFonts w:ascii="仿宋_GB2312" w:hAnsi="仿宋_GB2312" w:cs="仿宋_GB2312" w:eastAsia="仿宋_GB2312"/>
                      <w:sz w:val="21"/>
                    </w:rPr>
                    <w:t>≤</w:t>
                  </w:r>
                  <w:r>
                    <w:rPr>
                      <w:rFonts w:ascii="仿宋_GB2312" w:hAnsi="仿宋_GB2312" w:cs="仿宋_GB2312" w:eastAsia="仿宋_GB2312"/>
                      <w:sz w:val="22"/>
                    </w:rPr>
                    <w:t>0.1ppb</w:t>
                  </w:r>
                  <w:r>
                    <w:rPr>
                      <w:rFonts w:ascii="仿宋_GB2312" w:hAnsi="仿宋_GB2312" w:cs="仿宋_GB2312" w:eastAsia="仿宋_GB2312"/>
                      <w:sz w:val="22"/>
                    </w:rPr>
                    <w:t>，</w:t>
                  </w:r>
                  <w:r>
                    <w:rPr>
                      <w:rFonts w:ascii="仿宋_GB2312" w:hAnsi="仿宋_GB2312" w:cs="仿宋_GB2312" w:eastAsia="仿宋_GB2312"/>
                      <w:sz w:val="22"/>
                    </w:rPr>
                    <w:t>（需提供实验报告证明）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配备智能芯片，能进行流量智能优化，须有实物，不可采用软件虚拟功能替代。（需提供实物图照片以及软件截图）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配备智能芯片，可以储存样本色谱图，用于软件验证或培训（需提供软件截图）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8）</w:t>
                  </w:r>
                  <w:r>
                    <w:rPr>
                      <w:rFonts w:ascii="仿宋_GB2312" w:hAnsi="仿宋_GB2312" w:cs="仿宋_GB2312" w:eastAsia="仿宋_GB2312"/>
                      <w:sz w:val="21"/>
                    </w:rPr>
                    <w:t>非膜结构，抑制过程不使用电解方式，不产生电子噪音，不对电导检测器造成干扰，无样品分析任务时无须开机润洗维护。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9）</w:t>
                  </w:r>
                  <w:r>
                    <w:rPr>
                      <w:rFonts w:ascii="仿宋_GB2312" w:hAnsi="仿宋_GB2312" w:cs="仿宋_GB2312" w:eastAsia="仿宋_GB2312"/>
                      <w:sz w:val="21"/>
                    </w:rPr>
                    <w:t>含有智能芯片，即插即显示，显示序列号、建议流速、使用的次数等信息。（需提供实物图照片以及软件截图）</w:t>
                  </w:r>
                </w:p>
                <w:p>
                  <w:pPr>
                    <w:pStyle w:val="null3"/>
                    <w:ind w:firstLine="210"/>
                    <w:jc w:val="both"/>
                  </w:pPr>
                  <w:r>
                    <w:rPr>
                      <w:rFonts w:ascii="仿宋_GB2312" w:hAnsi="仿宋_GB2312" w:cs="仿宋_GB2312" w:eastAsia="仿宋_GB2312"/>
                      <w:sz w:val="21"/>
                    </w:rPr>
                    <w:t>10)检测器噪音</w:t>
                  </w:r>
                  <w:r>
                    <w:rPr>
                      <w:rFonts w:ascii="仿宋_GB2312" w:hAnsi="仿宋_GB2312" w:cs="仿宋_GB2312" w:eastAsia="仿宋_GB2312"/>
                      <w:sz w:val="19"/>
                    </w:rPr>
                    <w:t>≤0.</w:t>
                  </w: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nS/cm</w:t>
                  </w:r>
                </w:p>
                <w:p>
                  <w:pPr>
                    <w:pStyle w:val="null3"/>
                    <w:ind w:firstLine="210"/>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定量重复性</w:t>
                  </w:r>
                  <w:r>
                    <w:rPr>
                      <w:rFonts w:ascii="仿宋_GB2312" w:hAnsi="仿宋_GB2312" w:cs="仿宋_GB2312" w:eastAsia="仿宋_GB2312"/>
                      <w:sz w:val="21"/>
                    </w:rPr>
                    <w:t>≤</w:t>
                  </w:r>
                  <w:r>
                    <w:rPr>
                      <w:rFonts w:ascii="仿宋_GB2312" w:hAnsi="仿宋_GB2312" w:cs="仿宋_GB2312" w:eastAsia="仿宋_GB2312"/>
                      <w:sz w:val="21"/>
                    </w:rPr>
                    <w:t>0.1%</w:t>
                  </w:r>
                </w:p>
                <w:p>
                  <w:pPr>
                    <w:pStyle w:val="null3"/>
                    <w:jc w:val="both"/>
                  </w:pPr>
                  <w:r>
                    <w:rPr>
                      <w:rFonts w:ascii="仿宋_GB2312" w:hAnsi="仿宋_GB2312" w:cs="仿宋_GB2312" w:eastAsia="仿宋_GB2312"/>
                      <w:sz w:val="19"/>
                    </w:rPr>
                    <w:t>▲</w:t>
                  </w:r>
                  <w:r>
                    <w:rPr>
                      <w:rFonts w:ascii="仿宋_GB2312" w:hAnsi="仿宋_GB2312" w:cs="仿宋_GB2312" w:eastAsia="仿宋_GB2312"/>
                      <w:sz w:val="21"/>
                    </w:rPr>
                    <w:t>12</w:t>
                  </w:r>
                  <w:r>
                    <w:rPr>
                      <w:rFonts w:ascii="仿宋_GB2312" w:hAnsi="仿宋_GB2312" w:cs="仿宋_GB2312" w:eastAsia="仿宋_GB2312"/>
                      <w:sz w:val="21"/>
                    </w:rPr>
                    <w:t>）耐有机溶剂，有机兼容性</w:t>
                  </w:r>
                  <w:r>
                    <w:rPr>
                      <w:rFonts w:ascii="仿宋_GB2312" w:hAnsi="仿宋_GB2312" w:cs="仿宋_GB2312" w:eastAsia="仿宋_GB2312"/>
                      <w:sz w:val="21"/>
                    </w:rPr>
                    <w:t>100%</w:t>
                  </w:r>
                </w:p>
                <w:p>
                  <w:pPr>
                    <w:pStyle w:val="null3"/>
                    <w:ind w:firstLine="200"/>
                    <w:jc w:val="both"/>
                  </w:pPr>
                  <w:r>
                    <w:rPr>
                      <w:rFonts w:ascii="仿宋_GB2312" w:hAnsi="仿宋_GB2312" w:cs="仿宋_GB2312" w:eastAsia="仿宋_GB2312"/>
                      <w:sz w:val="19"/>
                    </w:rPr>
                    <w:t>13</w:t>
                  </w:r>
                  <w:r>
                    <w:rPr>
                      <w:rFonts w:ascii="仿宋_GB2312" w:hAnsi="仿宋_GB2312" w:cs="仿宋_GB2312" w:eastAsia="仿宋_GB2312"/>
                      <w:sz w:val="19"/>
                    </w:rPr>
                    <w:t>）温度控制范围:</w:t>
                  </w:r>
                  <w:r>
                    <w:rPr>
                      <w:rFonts w:ascii="仿宋_GB2312" w:hAnsi="仿宋_GB2312" w:cs="仿宋_GB2312" w:eastAsia="仿宋_GB2312"/>
                      <w:sz w:val="21"/>
                    </w:rPr>
                    <w:t>室温～室温+40 ℃</w:t>
                  </w:r>
                </w:p>
                <w:p>
                  <w:pPr>
                    <w:pStyle w:val="null3"/>
                    <w:ind w:firstLine="200"/>
                    <w:jc w:val="both"/>
                  </w:pPr>
                  <w:r>
                    <w:rPr>
                      <w:rFonts w:ascii="仿宋_GB2312" w:hAnsi="仿宋_GB2312" w:cs="仿宋_GB2312" w:eastAsia="仿宋_GB2312"/>
                      <w:sz w:val="19"/>
                    </w:rPr>
                    <w:t>14</w:t>
                  </w:r>
                  <w:r>
                    <w:rPr>
                      <w:rFonts w:ascii="仿宋_GB2312" w:hAnsi="仿宋_GB2312" w:cs="仿宋_GB2312" w:eastAsia="仿宋_GB2312"/>
                      <w:sz w:val="19"/>
                    </w:rPr>
                    <w:t>）高压泵，采用化学惰性的非金属无阻尼泵头，</w:t>
                  </w:r>
                  <w:r>
                    <w:rPr>
                      <w:rFonts w:ascii="仿宋_GB2312" w:hAnsi="仿宋_GB2312" w:cs="仿宋_GB2312" w:eastAsia="仿宋_GB2312"/>
                      <w:sz w:val="19"/>
                    </w:rPr>
                    <w:t>PEEK管路</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）自动进样器：</w:t>
                  </w:r>
                  <w:r>
                    <w:rPr>
                      <w:rFonts w:ascii="仿宋_GB2312" w:hAnsi="仿宋_GB2312" w:cs="仿宋_GB2312" w:eastAsia="仿宋_GB2312"/>
                      <w:sz w:val="19"/>
                    </w:rPr>
                    <w:t>转轮式样品盘，保证进样针只进行垂直运动，杜绝机械匡量每次最大进样量：</w:t>
                  </w:r>
                  <w:r>
                    <w:rPr>
                      <w:rFonts w:ascii="仿宋_GB2312" w:hAnsi="仿宋_GB2312" w:cs="仿宋_GB2312" w:eastAsia="仿宋_GB2312"/>
                      <w:sz w:val="19"/>
                    </w:rPr>
                    <w:t>≥10ml</w:t>
                  </w:r>
                </w:p>
                <w:p>
                  <w:pPr>
                    <w:pStyle w:val="null3"/>
                    <w:ind w:firstLine="210"/>
                    <w:jc w:val="both"/>
                  </w:pPr>
                  <w:r>
                    <w:rPr>
                      <w:rFonts w:ascii="仿宋_GB2312" w:hAnsi="仿宋_GB2312" w:cs="仿宋_GB2312" w:eastAsia="仿宋_GB2312"/>
                      <w:sz w:val="19"/>
                    </w:rPr>
                    <w:t>1</w:t>
                  </w:r>
                  <w:r>
                    <w:rPr>
                      <w:rFonts w:ascii="仿宋_GB2312" w:hAnsi="仿宋_GB2312" w:cs="仿宋_GB2312" w:eastAsia="仿宋_GB2312"/>
                      <w:sz w:val="21"/>
                    </w:rPr>
                    <w:t>6）</w:t>
                  </w:r>
                  <w:r>
                    <w:rPr>
                      <w:rFonts w:ascii="仿宋_GB2312" w:hAnsi="仿宋_GB2312" w:cs="仿宋_GB2312" w:eastAsia="仿宋_GB2312"/>
                      <w:sz w:val="19"/>
                    </w:rPr>
                    <w:t>智能进样技术，只需单一浓度多离子标准溶液即可完成标准曲线与对照品的自动绘制，可以自动稀释标准品并进样。</w:t>
                  </w:r>
                </w:p>
                <w:p>
                  <w:pPr>
                    <w:pStyle w:val="null3"/>
                    <w:ind w:firstLine="210"/>
                    <w:jc w:val="both"/>
                  </w:pPr>
                  <w:r>
                    <w:rPr>
                      <w:rFonts w:ascii="仿宋_GB2312" w:hAnsi="仿宋_GB2312" w:cs="仿宋_GB2312" w:eastAsia="仿宋_GB2312"/>
                      <w:sz w:val="19"/>
                    </w:rPr>
                    <w:t>▲</w:t>
                  </w:r>
                  <w:r>
                    <w:rPr>
                      <w:rFonts w:ascii="仿宋_GB2312" w:hAnsi="仿宋_GB2312" w:cs="仿宋_GB2312" w:eastAsia="仿宋_GB2312"/>
                      <w:sz w:val="19"/>
                    </w:rPr>
                    <w:t>17）</w:t>
                  </w:r>
                  <w:r>
                    <w:rPr>
                      <w:rFonts w:ascii="仿宋_GB2312" w:hAnsi="仿宋_GB2312" w:cs="仿宋_GB2312" w:eastAsia="仿宋_GB2312"/>
                      <w:sz w:val="19"/>
                    </w:rPr>
                    <w:t>采用四元泵配合定量管的方式进样。</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工作站软件</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功能：可自动识别所有智能</w:t>
                  </w:r>
                  <w:r>
                    <w:rPr>
                      <w:rFonts w:ascii="仿宋_GB2312" w:hAnsi="仿宋_GB2312" w:cs="仿宋_GB2312" w:eastAsia="仿宋_GB2312"/>
                      <w:sz w:val="21"/>
                    </w:rPr>
                    <w:t>化</w:t>
                  </w:r>
                  <w:r>
                    <w:rPr>
                      <w:rFonts w:ascii="仿宋_GB2312" w:hAnsi="仿宋_GB2312" w:cs="仿宋_GB2312" w:eastAsia="仿宋_GB2312"/>
                      <w:sz w:val="21"/>
                    </w:rPr>
                    <w:t>组件，并读取其最佳参数信息；仪器控制和数据处理完全由软件进行；可编制分析方式和顺序、色谱图积分和分析报告</w:t>
                  </w:r>
                  <w:r>
                    <w:rPr>
                      <w:rFonts w:ascii="仿宋_GB2312" w:hAnsi="仿宋_GB2312" w:cs="仿宋_GB2312" w:eastAsia="仿宋_GB2312"/>
                      <w:sz w:val="21"/>
                    </w:rPr>
                    <w:t>，导入及导出实验数据，支持导出为</w:t>
                  </w:r>
                  <w:r>
                    <w:rPr>
                      <w:rFonts w:ascii="仿宋_GB2312" w:hAnsi="仿宋_GB2312" w:cs="仿宋_GB2312" w:eastAsia="仿宋_GB2312"/>
                      <w:sz w:val="21"/>
                    </w:rPr>
                    <w:t>P</w:t>
                  </w:r>
                  <w:r>
                    <w:rPr>
                      <w:rFonts w:ascii="仿宋_GB2312" w:hAnsi="仿宋_GB2312" w:cs="仿宋_GB2312" w:eastAsia="仿宋_GB2312"/>
                      <w:sz w:val="21"/>
                    </w:rPr>
                    <w:t>DF</w:t>
                  </w:r>
                  <w:r>
                    <w:rPr>
                      <w:rFonts w:ascii="仿宋_GB2312" w:hAnsi="仿宋_GB2312" w:cs="仿宋_GB2312" w:eastAsia="仿宋_GB2312"/>
                      <w:sz w:val="21"/>
                    </w:rPr>
                    <w:t>、</w:t>
                  </w:r>
                  <w:r>
                    <w:rPr>
                      <w:rFonts w:ascii="仿宋_GB2312" w:hAnsi="仿宋_GB2312" w:cs="仿宋_GB2312" w:eastAsia="仿宋_GB2312"/>
                      <w:sz w:val="21"/>
                    </w:rPr>
                    <w:t>Word、Excel等格式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原版中文软件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）软件终身提供免费升级服务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技术服务</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设备免费移机一次。</w:t>
                  </w:r>
                </w:p>
                <w:p>
                  <w:pPr>
                    <w:pStyle w:val="null3"/>
                  </w:pPr>
                  <w:r>
                    <w:rPr>
                      <w:rFonts w:ascii="仿宋_GB2312" w:hAnsi="仿宋_GB2312" w:cs="仿宋_GB2312" w:eastAsia="仿宋_GB2312"/>
                      <w:sz w:val="21"/>
                    </w:rPr>
                    <w:t xml:space="preserve">2）保修期内：24小时作出相应的问题答复；如电话不能解决问题，维修人员将在2个工作日内到达现场（视用户地理位置而定）如果仍未解决问题的，需要提供一台相同性能仪器，在维修期内供用户免费使用。 </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1、交货期：交货时间为本合同生效后60天内到货并安装调试交付使用。</w:t>
            </w:r>
          </w:p>
          <w:p>
            <w:pPr>
              <w:pStyle w:val="null3"/>
            </w:pPr>
            <w:r>
              <w:rPr>
                <w:rFonts w:ascii="仿宋_GB2312" w:hAnsi="仿宋_GB2312" w:cs="仿宋_GB2312" w:eastAsia="仿宋_GB2312"/>
              </w:rPr>
              <w:t>2、质保期：整机原厂三年（抑制器原厂十年）</w:t>
            </w:r>
            <w:r>
              <w:rPr>
                <w:rFonts w:ascii="仿宋_GB2312" w:hAnsi="仿宋_GB2312" w:cs="仿宋_GB2312" w:eastAsia="仿宋_GB2312"/>
              </w:rPr>
              <w:t>。</w:t>
            </w:r>
          </w:p>
          <w:p>
            <w:pPr>
              <w:pStyle w:val="null3"/>
            </w:pPr>
            <w:r>
              <w:rPr>
                <w:rFonts w:ascii="仿宋_GB2312" w:hAnsi="仿宋_GB2312" w:cs="仿宋_GB2312" w:eastAsia="仿宋_GB2312"/>
              </w:rPr>
              <w:t>3、付款方式：合同签订后，供应商开具全额银行保函，采购人收到银行保函正本后，一次性付清合同货款，待货物到达指定地点、安装调试验收合格后，采购人退还银行保函。</w:t>
            </w:r>
          </w:p>
          <w:p>
            <w:pPr>
              <w:pStyle w:val="null3"/>
              <w:jc w:val="both"/>
            </w:pPr>
            <w:r>
              <w:rPr>
                <w:rFonts w:ascii="仿宋_GB2312" w:hAnsi="仿宋_GB2312" w:cs="仿宋_GB2312" w:eastAsia="仿宋_GB2312"/>
                <w:sz w:val="21"/>
              </w:rPr>
              <w:t>4、履约保证金：1）</w:t>
            </w:r>
            <w:r>
              <w:rPr>
                <w:rFonts w:ascii="仿宋_GB2312" w:hAnsi="仿宋_GB2312" w:cs="仿宋_GB2312" w:eastAsia="仿宋_GB2312"/>
                <w:sz w:val="21"/>
              </w:rPr>
              <w:t>合同签订前，中标人须向采购人提交合同总价的</w:t>
            </w:r>
            <w:r>
              <w:rPr>
                <w:rFonts w:ascii="仿宋_GB2312" w:hAnsi="仿宋_GB2312" w:cs="仿宋_GB2312" w:eastAsia="仿宋_GB2312"/>
                <w:sz w:val="21"/>
                <w:u w:val="single"/>
              </w:rPr>
              <w:t>5</w:t>
            </w:r>
            <w:r>
              <w:rPr>
                <w:rFonts w:ascii="仿宋_GB2312" w:hAnsi="仿宋_GB2312" w:cs="仿宋_GB2312" w:eastAsia="仿宋_GB2312"/>
                <w:sz w:val="21"/>
                <w:u w:val="single"/>
              </w:rPr>
              <w:t>.0%</w:t>
            </w:r>
            <w:r>
              <w:rPr>
                <w:rFonts w:ascii="仿宋_GB2312" w:hAnsi="仿宋_GB2312" w:cs="仿宋_GB2312" w:eastAsia="仿宋_GB2312"/>
                <w:sz w:val="21"/>
              </w:rPr>
              <w:t>作为履约保证金；</w:t>
            </w:r>
            <w:r>
              <w:rPr>
                <w:rFonts w:ascii="仿宋_GB2312" w:hAnsi="仿宋_GB2312" w:cs="仿宋_GB2312" w:eastAsia="仿宋_GB2312"/>
                <w:sz w:val="21"/>
              </w:rPr>
              <w:t>2）产品交付并由采购人验收合格后，中标人申请，采购人将履约保证金（无息）退还中标人。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交货时间为本合同生效后60天内到货并安装调试交付使用。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1.培训要求：供应商应在货物交付后开展不少于3场次的应用培训。 2.报价要求：（1）供应商应当根据采购文件的要求和范围，以人民币为货币，以元为报价单位。（2）报价：投标报价是指到达使用地点、验收合格达到正常使用条件前的所有费用，包括但不限于以下费用：货物价值、安装调试费、国内运杂费（含保险）、仓储保管费、技术培训费、检测费、施工费、人工费等全部相关费用； 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 4.根据采购人档案管理要求，供应商需要在线提交所有通过电子化交易平台实施的政府采购项目的投标文件，同时，线下提交投标文件正本 壹 份、副本壹 份。若系统电子投标文件与纸质投标文件不一致的，以系统电子投标文件为准。 5、落实政府采购政策《国务院办公厅关于在政府采购中实施本国产品标准及相关政策的通知国办发〔2025〕34号》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1、供应商为合法注册的法人、其他组织或自然人，具有独立承担民事责任的能力，提供具有统一社会信用代码证的营业执照（或事业单位法人证）；供应商为自然人的提供身份证； 2、供应商提供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（一）政府采购评审中出现下列情形之一的，评标委员会应当启动异常低价响应审查程序：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启动异常低价响应审查后，相关供应商在评审现场合理的时间内对投标价格作出解释，提供项目具体成本测算等与报价合理性相关的书面说明及必要的证明材料，包括但不限于原材料成本、人工成本、制造费用等。评标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交货时间为本合同生效后60天内到货并安装调试交付使用。</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整机原厂三年（抑制器原厂十年）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参数需求带“★”的参数需求为实质性要求，供应商响应并满足参数需求</w:t>
            </w:r>
          </w:p>
        </w:tc>
        <w:tc>
          <w:tcPr>
            <w:tcW w:type="dxa" w:w="1661"/>
          </w:tcPr>
          <w:p>
            <w:pPr>
              <w:pStyle w:val="null3"/>
            </w:pPr>
            <w:r>
              <w:rPr>
                <w:rFonts w:ascii="仿宋_GB2312" w:hAnsi="仿宋_GB2312" w:cs="仿宋_GB2312" w:eastAsia="仿宋_GB2312"/>
              </w:rPr>
              <w:t>★项证明材料.docx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30分；“▲”参数每负偏离一项扣3分，未带标识参数每负偏离一项扣0.6分。 备注：▲号参数必须提供佐证材料（不限于产品彩页、检测报告、功能截图等），未提供佐证材料或提供的佐证材料无法证明或低于招标要求时按负偏离处理。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方案内容完整全面，项目执行与项目进度安排、项目验收流程控制明确务实、实践性与可行性强；每有一项缺项扣1.6分，每有一处内容存在缺陷，扣0.4分，扣完为止。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 方案内容完整全面、有针对性，科学合理可实施性强；每有一项缺项扣1.5分，每有一处内容存在缺陷，扣0.5分，扣完为止。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提供供应商2022年1月1日至今同类项目业绩（以合同签订日期为准）及对应发票。每提供1份得1分，最高得5分。 备注：提供合同复印件及发票。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详见附件：★项证明材料.docx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