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版本号：【KRDL】K4-260302020260317001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洗涤外包服务采购项目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【KRDL】K4-2603020</w:t>
      </w:r>
      <w:r>
        <w:br/>
      </w:r>
      <w:r>
        <w:br/>
      </w:r>
      <w:r>
        <w:br/>
      </w:r>
    </w:p>
    <w:p>
      <w:pPr>
        <w:pStyle w:val="null3"/>
        <w:jc w:val="center"/>
        <w:outlineLvl w:val="2"/>
      </w:pPr>
      <w:r>
        <w:rPr>
          <w:rFonts w:ascii="仿宋_GB2312" w:hAnsi="仿宋_GB2312" w:cs="仿宋_GB2312" w:eastAsia="仿宋_GB2312"/>
          <w:sz w:val="28"/>
          <w:b/>
        </w:rPr>
        <w:t>陕西省肿瘤医院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陕西省肿瘤医院</w:t>
      </w:r>
      <w:r>
        <w:rPr>
          <w:rFonts w:ascii="仿宋_GB2312" w:hAnsi="仿宋_GB2312" w:cs="仿宋_GB2312" w:eastAsia="仿宋_GB2312"/>
        </w:rPr>
        <w:t>委托，拟对</w:t>
      </w:r>
      <w:r>
        <w:rPr>
          <w:rFonts w:ascii="仿宋_GB2312" w:hAnsi="仿宋_GB2312" w:cs="仿宋_GB2312" w:eastAsia="仿宋_GB2312"/>
        </w:rPr>
        <w:t>洗涤外包服务采购项目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【KRDL】K4-2603020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洗涤外包服务采购项目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肿瘤医院洗涤外包服务采购项目，拟选择1家供应商为全院被服、辅料提供洗涤消毒服务，服务内容包含医用床品、被芯、褥芯、被褥、敷料、工作服、窗帘等医用织物的洗涤、消毒服务熨烫、整理、缝补、钉扣、钉带、收脏、送净按照科室分类打包等，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采购包1（洗涤外包服务采购项目）：属于专门面向中小企业采购。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2、信用资格要求：截止至响应文件递交截止时间之前，供应商未被“信用中国”网站列入失信被执行人、重大税收违法失信主体名单，未被“中国政府采购网”网站列入政府采购严重违法失信行为记录名单；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陕西省肿瘤医院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西安市雁塔西路309号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029-85276353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代光艳、贾亚妮、刘如拉、王昭、姚瑶、刘昆、张晨、王森、靳祥德、成荔、彭明杨、王莉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办公厅颁发的《关于招标代理服务收费有关问题的通知》（发改办价格[2003] 857号）的有关规定向采购代理机构一次付清代理服务费。 备注：供应商在缴纳保证金或服务费时请备注项目编号+代理服务费/投标保证金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陕西省肿瘤医院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陕西省肿瘤医院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陕西省肿瘤医院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联系人：代光艳、贾亚妮</w:t>
      </w:r>
    </w:p>
    <w:p>
      <w:pPr>
        <w:pStyle w:val="null3"/>
      </w:pPr>
      <w:r>
        <w:rPr>
          <w:rFonts w:ascii="仿宋_GB2312" w:hAnsi="仿宋_GB2312" w:cs="仿宋_GB2312" w:eastAsia="仿宋_GB2312"/>
        </w:rPr>
        <w:t>联系电话：029-89581863、15229797656、15667067713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肿瘤医院洗涤外包服务采购项目，拟选择1家供应商为全院被服、辅料提供洗涤消毒服务，服务内容包含医用床品、被芯、褥芯、被褥、敷料、工作服、窗帘等医用织物的洗涤、消毒服务熨烫、整理、缝补、钉扣、钉带、收脏、送净按照科室分类打包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洗涤外包服务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标的名称：洗涤外包服务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一、洗涤清单及单价限价</w:t>
            </w:r>
          </w:p>
          <w:tbl>
            <w:tblPr>
              <w:tblBorders>
                <w:top w:val="none" w:color="000000" w:sz="4"/>
                <w:left w:val="none" w:color="000000" w:sz="4"/>
                <w:bottom w:val="none" w:color="000000" w:sz="4"/>
                <w:right w:val="none" w:color="000000" w:sz="4"/>
                <w:insideH w:val="none"/>
                <w:insideV w:val="none"/>
              </w:tblBorders>
            </w:tblPr>
            <w:tblGrid>
              <w:gridCol w:w="405"/>
              <w:gridCol w:w="405"/>
              <w:gridCol w:w="781"/>
              <w:gridCol w:w="955"/>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品类</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预估数量（件）</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床单</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枕芯</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病员服</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棉被</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5995</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棉褥</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5995</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工作服</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工作裤</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大口袋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中单</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刨腹单</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治疗巾</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洗手裤</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大包皮</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中包皮</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小包皮</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洞巾</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0.6</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巡回衣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0.65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窗帘</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羽绒服</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单价合计响应限价</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46.85元</w:t>
                  </w:r>
                </w:p>
              </w:tc>
            </w:tr>
          </w:tbl>
          <w:p>
            <w:pPr>
              <w:pStyle w:val="null3"/>
              <w:ind w:firstLine="482"/>
              <w:jc w:val="left"/>
            </w:pPr>
            <w:r>
              <w:rPr>
                <w:rFonts w:ascii="仿宋_GB2312" w:hAnsi="仿宋_GB2312" w:cs="仿宋_GB2312" w:eastAsia="仿宋_GB2312"/>
                <w:sz w:val="24"/>
                <w:b/>
                <w:color w:val="000000"/>
              </w:rPr>
              <w:t>备注：各供应商自主填报响应报价，响应单价报价及单价合计报价均不能超过上述列明的最高响应限价金额，否则按照无效响应处理。</w:t>
            </w:r>
          </w:p>
          <w:p>
            <w:pPr>
              <w:pStyle w:val="null3"/>
              <w:ind w:firstLine="482"/>
              <w:jc w:val="left"/>
            </w:pPr>
            <w:r>
              <w:rPr>
                <w:rFonts w:ascii="仿宋_GB2312" w:hAnsi="仿宋_GB2312" w:cs="仿宋_GB2312" w:eastAsia="仿宋_GB2312"/>
                <w:sz w:val="24"/>
                <w:b/>
                <w:color w:val="000000"/>
              </w:rPr>
              <w:t>二、服务标准及要求</w:t>
            </w:r>
          </w:p>
          <w:p>
            <w:pPr>
              <w:pStyle w:val="null3"/>
              <w:ind w:firstLine="480"/>
              <w:jc w:val="left"/>
            </w:pPr>
            <w:r>
              <w:rPr>
                <w:rFonts w:ascii="仿宋_GB2312" w:hAnsi="仿宋_GB2312" w:cs="仿宋_GB2312" w:eastAsia="仿宋_GB2312"/>
                <w:sz w:val="24"/>
                <w:b/>
                <w:color w:val="000000"/>
              </w:rPr>
              <w:t>（一）服务标准及要求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洗涤作业区域污染区及清洁区有完全隔离屏障，人流、物流、空气流不交叉不逆行，应符合布草洗涤规范对洗涤作业场地、空间、空气的要求，保证所提供的洗涤、熨烫、消毒等服务均按国内通行的现行标准和相应的技术规范执行，这些标准和技术规范为合同签订日为止最新公布发行的标准和技术规范。供应商应有稳定高效的全套专业洗涤设备，根据医院布草物品的特点，选择《中华人民共和国卫生行业标准》</w:t>
            </w:r>
            <w:r>
              <w:rPr>
                <w:rFonts w:ascii="仿宋_GB2312" w:hAnsi="仿宋_GB2312" w:cs="仿宋_GB2312" w:eastAsia="仿宋_GB2312"/>
                <w:sz w:val="24"/>
                <w:color w:val="000000"/>
              </w:rPr>
              <w:t>WS/T508——2025《医疗机构医用织物洗涤消毒技术标准》中或国家最新规范相关规定中医疗机构医用织物洗涤消毒标准，科学安排洗涤工序，保证洗涤质量，医院有权对供应商所洗布草物品和洗涤场所进行抽查和检验，并要求洗涤公司及时整改。如出现应洗清而实际未洗清物品，医院有权按此物品洗涤价格予以罚款。医院布草物品的折叠应按医院要求规范折叠，并保证洁净度。所有洗涤物品必须封装完好送回医院指定位置。</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供应商提供的服务符合</w:t>
            </w:r>
            <w:r>
              <w:rPr>
                <w:rFonts w:ascii="仿宋_GB2312" w:hAnsi="仿宋_GB2312" w:cs="仿宋_GB2312" w:eastAsia="仿宋_GB2312"/>
                <w:sz w:val="24"/>
                <w:color w:val="000000"/>
              </w:rPr>
              <w:t>WS/T508——2025《医疗机构医用织物洗涤消毒技术标准》或国家最新规范相关规定为准，确保服务质量合格。供应商对提供的服务质量、安全、环保等负全权责任。</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洗涤剂为经检测合格的无磷专用产品；根据布料质地，污染程度，污染性质的不同，选择合适的洗涤流程及洗涤方法。</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每月应提供一份工作衣、职工被服、病员服及病员被服第三方检测且达标的检测报告。</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清洁织物应外观无明显污渍、整洁、干燥、无异味、无破损，分类折叠；工作衣应熨烫平整，且独立包装。</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感染性织物与非感染性织物应分开独立包装，分机洗涤，并由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提供水溶性包装袋。</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职工工作衣裤等医用织物应做到专机洗涤，不可与其它医用织物混洗，单独分类包装，做好标识，做交接手续。</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特殊被服应独立打包，做好标识，做好交接手续，制定好防护措施。</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敷料折叠应提前与使用部门对接，折叠尺寸按照医院惯例执行。</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破损织物应单独分类包装，做好标识，做交接手续。</w:t>
            </w:r>
          </w:p>
          <w:p>
            <w:pPr>
              <w:pStyle w:val="null3"/>
              <w:ind w:firstLine="48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接受采购人感染管理部门对</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的生物污染风险评估，对存在问题实施整改。</w:t>
            </w:r>
          </w:p>
          <w:p>
            <w:pPr>
              <w:pStyle w:val="null3"/>
              <w:ind w:firstLine="480"/>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随时接受采购人和卫生监管部门的检查、监督、指导，对存在的问题在规定期限内整改到位。</w:t>
            </w:r>
          </w:p>
          <w:p>
            <w:pPr>
              <w:pStyle w:val="null3"/>
              <w:ind w:firstLine="480"/>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服务周期内发生的织物破损、丢失，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无法有效证明破损、丢失为采购人使用不当或管理不善造成的，相应损失由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自行承担。确因采购人原因导致织物破损、丢失造成的损失的，由采购人承担。无论责任是否界定清楚，</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均应先行更换或补充，更换补充时间在一周内完成以确保采购人使用不受影响。</w:t>
            </w:r>
          </w:p>
          <w:p>
            <w:pPr>
              <w:pStyle w:val="null3"/>
              <w:ind w:firstLine="482"/>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配送</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要求</w:t>
            </w:r>
          </w:p>
          <w:p>
            <w:pPr>
              <w:pStyle w:val="null3"/>
              <w:ind w:firstLine="480"/>
              <w:jc w:val="left"/>
            </w:pPr>
            <w:r>
              <w:rPr>
                <w:rFonts w:ascii="仿宋_GB2312" w:hAnsi="仿宋_GB2312" w:cs="仿宋_GB2312" w:eastAsia="仿宋_GB2312"/>
                <w:sz w:val="24"/>
                <w:color w:val="000000"/>
              </w:rPr>
              <w:t>★1.病床单元织物及病员衣裤、医生、护士工作服衣裤按科室分类打包，每日8:00按时配送。</w:t>
            </w:r>
          </w:p>
          <w:p>
            <w:pPr>
              <w:pStyle w:val="null3"/>
              <w:ind w:firstLine="480"/>
              <w:jc w:val="left"/>
            </w:pPr>
            <w:r>
              <w:rPr>
                <w:rFonts w:ascii="仿宋_GB2312" w:hAnsi="仿宋_GB2312" w:cs="仿宋_GB2312" w:eastAsia="仿宋_GB2312"/>
                <w:sz w:val="24"/>
                <w:color w:val="000000"/>
              </w:rPr>
              <w:t>2.隔帘、窗</w:t>
            </w:r>
            <w:r>
              <w:rPr>
                <w:rFonts w:ascii="仿宋_GB2312" w:hAnsi="仿宋_GB2312" w:cs="仿宋_GB2312" w:eastAsia="仿宋_GB2312"/>
                <w:sz w:val="24"/>
                <w:color w:val="000000"/>
              </w:rPr>
              <w:t>帘等其它织物做到清洗后</w:t>
            </w:r>
            <w:r>
              <w:rPr>
                <w:rFonts w:ascii="仿宋_GB2312" w:hAnsi="仿宋_GB2312" w:cs="仿宋_GB2312" w:eastAsia="仿宋_GB2312"/>
                <w:sz w:val="24"/>
                <w:color w:val="000000"/>
              </w:rPr>
              <w:t>按科室打包分类</w:t>
            </w:r>
            <w:r>
              <w:rPr>
                <w:rFonts w:ascii="仿宋_GB2312" w:hAnsi="仿宋_GB2312" w:cs="仿宋_GB2312" w:eastAsia="仿宋_GB2312"/>
                <w:sz w:val="24"/>
                <w:color w:val="000000"/>
              </w:rPr>
              <w:t>及时配送；</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.对于</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应急性需求，应在</w:t>
            </w:r>
            <w:r>
              <w:rPr>
                <w:rFonts w:ascii="仿宋_GB2312" w:hAnsi="仿宋_GB2312" w:cs="仿宋_GB2312" w:eastAsia="仿宋_GB2312"/>
                <w:sz w:val="24"/>
                <w:color w:val="000000"/>
              </w:rPr>
              <w:t>1小时内满足；</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.如遇采购人对配送或收取时间、频次进行调整，</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应无条件执行。</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应合理规划配送线路，配备运输车辆。如遇车辆限行、交通事故、车辆故障等问题，由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启动应急措施，确保按时配送到位，</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不得以任何理由拖延、取消配送。</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.供应商应有专用车辆，车辆要求洁污分开，车牌号固定；车辆需按照院内指定路线通行，工作；车辆维修保养须自行解决，洗涤物品的运输工具由供应商自行提供，</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仅负责给供应商车辆办理出入证。</w:t>
            </w:r>
          </w:p>
          <w:p>
            <w:pPr>
              <w:pStyle w:val="null3"/>
              <w:ind w:firstLine="48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7.按照医院感染要求，供应商需提供收送被服、敷料密闭收集笼车6辆（笼车长宽高尺寸需符合电梯尺寸），洗衣房内周转笼车不得少于10辆。</w:t>
            </w:r>
          </w:p>
          <w:p>
            <w:pPr>
              <w:pStyle w:val="null3"/>
              <w:ind w:left="480" w:firstLine="65"/>
              <w:jc w:val="left"/>
            </w:pPr>
            <w:r>
              <w:rPr>
                <w:rFonts w:ascii="仿宋_GB2312" w:hAnsi="仿宋_GB2312" w:cs="仿宋_GB2312" w:eastAsia="仿宋_GB2312"/>
                <w:sz w:val="24"/>
                <w:b/>
                <w:color w:val="000000"/>
              </w:rPr>
              <w:t>（三）其他要求</w:t>
            </w:r>
            <w:r>
              <w:br/>
            </w:r>
            <w:r>
              <w:rPr>
                <w:rFonts w:ascii="仿宋_GB2312" w:hAnsi="仿宋_GB2312" w:cs="仿宋_GB2312" w:eastAsia="仿宋_GB2312"/>
                <w:sz w:val="24"/>
                <w:color w:val="000000"/>
              </w:rPr>
              <w:t>1.供应商应</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洗涤统计数据，</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在布草报废时应同时满足以下两个要求。</w:t>
            </w:r>
          </w:p>
          <w:tbl>
            <w:tblPr>
              <w:tblBorders>
                <w:top w:val="none" w:color="000000" w:sz="4"/>
                <w:left w:val="none" w:color="000000" w:sz="4"/>
                <w:bottom w:val="none" w:color="000000" w:sz="4"/>
                <w:right w:val="none" w:color="000000" w:sz="4"/>
                <w:insideH w:val="none"/>
                <w:insideV w:val="none"/>
              </w:tblBorders>
            </w:tblPr>
            <w:tblGrid>
              <w:gridCol w:w="588"/>
              <w:gridCol w:w="935"/>
              <w:gridCol w:w="1030"/>
            </w:tblGrid>
            <w:tr>
              <w:tc>
                <w:tcPr>
                  <w:tcW w:type="dxa" w:w="5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品名</w:t>
                  </w:r>
                </w:p>
              </w:tc>
              <w:tc>
                <w:tcPr>
                  <w:tcW w:type="dxa" w:w="196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求</w:t>
                  </w:r>
                </w:p>
              </w:tc>
            </w:tr>
            <w:tr>
              <w:tc>
                <w:tcPr>
                  <w:tcW w:type="dxa" w:w="588"/>
                  <w:vMerge/>
                  <w:tcBorders>
                    <w:top w:val="single" w:color="000000" w:sz="4"/>
                    <w:left w:val="single" w:color="000000" w:sz="4"/>
                    <w:bottom w:val="single" w:color="000000" w:sz="4"/>
                    <w:right w:val="single" w:color="000000" w:sz="4"/>
                  </w:tcBorders>
                </w:tcP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报废率</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布草使用时长</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床单</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≥12个月</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被套</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≥12个月</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枕套</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≥12个月</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褥套</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≥12个月</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病员衣裤</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≥12个月</w:t>
                  </w:r>
                </w:p>
              </w:tc>
            </w:tr>
          </w:tbl>
          <w:p>
            <w:pPr>
              <w:pStyle w:val="null3"/>
              <w:ind w:firstLine="480"/>
              <w:jc w:val="left"/>
            </w:pPr>
            <w:r>
              <w:rPr>
                <w:rFonts w:ascii="仿宋_GB2312" w:hAnsi="仿宋_GB2312" w:cs="仿宋_GB2312" w:eastAsia="仿宋_GB2312"/>
                <w:sz w:val="24"/>
                <w:color w:val="000000"/>
              </w:rPr>
              <w:t>重污织物经特殊处理，每日收取经双方交接确认数量后不纳入报废率考核。</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布草使用时长不足</w:t>
            </w:r>
            <w:r>
              <w:rPr>
                <w:rFonts w:ascii="仿宋_GB2312" w:hAnsi="仿宋_GB2312" w:cs="仿宋_GB2312" w:eastAsia="仿宋_GB2312"/>
                <w:sz w:val="24"/>
                <w:color w:val="000000"/>
              </w:rPr>
              <w:t xml:space="preserve">12个月的赔偿标准  </w:t>
            </w:r>
          </w:p>
          <w:tbl>
            <w:tblPr>
              <w:tblBorders>
                <w:top w:val="none" w:color="000000" w:sz="4"/>
                <w:left w:val="none" w:color="000000" w:sz="4"/>
                <w:bottom w:val="none" w:color="000000" w:sz="4"/>
                <w:right w:val="none" w:color="000000" w:sz="4"/>
                <w:insideH w:val="none"/>
                <w:insideV w:val="none"/>
              </w:tblBorders>
            </w:tblPr>
            <w:tblGrid>
              <w:gridCol w:w="1007"/>
              <w:gridCol w:w="1546"/>
            </w:tblGrid>
            <w:tr>
              <w:tc>
                <w:tcPr>
                  <w:tcW w:type="dxa" w:w="1007"/>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品名</w:t>
                  </w:r>
                </w:p>
              </w:tc>
              <w:tc>
                <w:tcPr>
                  <w:tcW w:type="dxa" w:w="154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床单、被套、枕套、褥套、病员衣裤</w:t>
                  </w:r>
                </w:p>
              </w:tc>
            </w:tr>
            <w:tr>
              <w:tc>
                <w:tcPr>
                  <w:tcW w:type="dxa" w:w="1007"/>
                  <w:vMerge/>
                  <w:tcBorders>
                    <w:top w:val="single" w:color="000000" w:sz="4"/>
                    <w:left w:val="single" w:color="000000" w:sz="4"/>
                    <w:bottom w:val="none" w:color="000000" w:sz="4"/>
                    <w:right w:val="single" w:color="000000" w:sz="4"/>
                  </w:tcBorders>
                </w:tcPr>
                <w:p/>
              </w:tc>
              <w:tc>
                <w:tcPr>
                  <w:tcW w:type="dxa" w:w="1546"/>
                  <w:vMerge/>
                  <w:tcBorders>
                    <w:top w:val="single" w:color="000000" w:sz="4"/>
                    <w:left w:val="none" w:color="000000" w:sz="4"/>
                    <w:bottom w:val="none" w:color="000000" w:sz="4"/>
                    <w:right w:val="single" w:color="000000" w:sz="4"/>
                  </w:tcBorders>
                </w:tcPr>
                <w:p/>
              </w:tc>
            </w:tr>
            <w:tr>
              <w:tc>
                <w:tcPr>
                  <w:tcW w:type="dxa" w:w="100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承诺寿命赔付方式</w:t>
                  </w:r>
                </w:p>
              </w:tc>
              <w:tc>
                <w:tcPr>
                  <w:tcW w:type="dxa" w:w="154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12个月</w:t>
                  </w:r>
                </w:p>
              </w:tc>
            </w:tr>
            <w:tr>
              <w:tc>
                <w:tcPr>
                  <w:tcW w:type="dxa" w:w="1007"/>
                  <w:vMerge/>
                  <w:tcBorders>
                    <w:top w:val="none" w:color="000000" w:sz="4"/>
                    <w:left w:val="single" w:color="000000" w:sz="4"/>
                    <w:bottom w:val="none" w:color="000000" w:sz="4"/>
                    <w:right w:val="single" w:color="000000" w:sz="4"/>
                  </w:tcBorders>
                </w:tcPr>
                <w:p/>
              </w:tc>
              <w:tc>
                <w:tcPr>
                  <w:tcW w:type="dxa" w:w="1546"/>
                  <w:vMerge/>
                  <w:tcBorders>
                    <w:top w:val="none" w:color="000000" w:sz="4"/>
                    <w:left w:val="none" w:color="000000" w:sz="4"/>
                    <w:bottom w:val="none" w:color="000000" w:sz="4"/>
                    <w:right w:val="single" w:color="000000" w:sz="4"/>
                  </w:tcBorders>
                </w:tcP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第一个季度内赔偿</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第二个季度内赔偿</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第三个季度内赔偿</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第四个季度内赔偿</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布草赔偿单价以</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布草采购单价为标准</w:t>
                  </w:r>
                </w:p>
              </w:tc>
            </w:tr>
          </w:tbl>
          <w:p>
            <w:pPr>
              <w:pStyle w:val="null3"/>
              <w:ind w:firstLine="482"/>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织物洁净度及白度要求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洁净度：</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应做好织物清洗质量的内检，清洗后送至</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的织物返洗率不得超过</w:t>
            </w:r>
            <w:r>
              <w:rPr>
                <w:rFonts w:ascii="仿宋_GB2312" w:hAnsi="仿宋_GB2312" w:cs="仿宋_GB2312" w:eastAsia="仿宋_GB2312"/>
                <w:sz w:val="24"/>
                <w:color w:val="000000"/>
              </w:rPr>
              <w:t>3%，返洗织物不收取费用；超出织物返洗率的，除</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不予支付洗涤费用外，还应按照以下公式计算扣款金额。</w:t>
            </w:r>
          </w:p>
          <w:p>
            <w:pPr>
              <w:pStyle w:val="null3"/>
              <w:ind w:firstLine="480"/>
              <w:jc w:val="left"/>
            </w:pPr>
            <w:r>
              <w:rPr>
                <w:rFonts w:ascii="仿宋_GB2312" w:hAnsi="仿宋_GB2312" w:cs="仿宋_GB2312" w:eastAsia="仿宋_GB2312"/>
                <w:sz w:val="24"/>
                <w:color w:val="000000"/>
              </w:rPr>
              <w:t>单品扣款金额</w:t>
            </w:r>
            <w:r>
              <w:rPr>
                <w:rFonts w:ascii="仿宋_GB2312" w:hAnsi="仿宋_GB2312" w:cs="仿宋_GB2312" w:eastAsia="仿宋_GB2312"/>
                <w:sz w:val="24"/>
                <w:color w:val="000000"/>
              </w:rPr>
              <w:t>=[本月单品返洗数量-（本月单品洗涤数量×3%）]×单品洗涤单价。</w:t>
            </w:r>
          </w:p>
          <w:p>
            <w:pPr>
              <w:pStyle w:val="null3"/>
              <w:ind w:firstLine="480"/>
              <w:jc w:val="left"/>
            </w:pPr>
            <w:r>
              <w:rPr>
                <w:rFonts w:ascii="仿宋_GB2312" w:hAnsi="仿宋_GB2312" w:cs="仿宋_GB2312" w:eastAsia="仿宋_GB2312"/>
                <w:sz w:val="24"/>
                <w:color w:val="000000"/>
              </w:rPr>
              <w:t>总扣款金额</w:t>
            </w:r>
            <w:r>
              <w:rPr>
                <w:rFonts w:ascii="仿宋_GB2312" w:hAnsi="仿宋_GB2312" w:cs="仿宋_GB2312" w:eastAsia="仿宋_GB2312"/>
                <w:sz w:val="24"/>
                <w:color w:val="000000"/>
              </w:rPr>
              <w:t>=各单品扣款金额之和。按月从洗涤费中直接扣除。</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白度：</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提供符合</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白度要求的布草，由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对该布草白度进行测定，经双方确认后签字并封存，作为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要求的白度标准，</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有权对</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洗涤后的布草白度进行随时检测。</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洗涤后的布草白度应满足</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w:t>
            </w:r>
          </w:p>
          <w:p>
            <w:pPr>
              <w:pStyle w:val="null3"/>
              <w:ind w:firstLine="480"/>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对织物清洗后的抽查及处罚</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由医院主导每月对清洗后的洁净织物、工作人员手卫生、工作台面、笼车、运输器具等依据中华人民共和国卫生行业标准中《医疗机构医用织物洗涤消毒技术标准》经双方签字确认后进行抽检。</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对于医院主导的抽检结果，不符合《医疗机构医用织物洗涤消毒技术标准》要求的，按照每人、每品类</w:t>
            </w:r>
            <w:r>
              <w:rPr>
                <w:rFonts w:ascii="仿宋_GB2312" w:hAnsi="仿宋_GB2312" w:cs="仿宋_GB2312" w:eastAsia="仿宋_GB2312"/>
                <w:sz w:val="24"/>
                <w:color w:val="000000"/>
              </w:rPr>
              <w:t>0.5万元（5000元）进行处罚；并由</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对不符合要求的人手、品类再次抽检，如仍不符合要求，按照每人、每品类</w:t>
            </w:r>
            <w:r>
              <w:rPr>
                <w:rFonts w:ascii="仿宋_GB2312" w:hAnsi="仿宋_GB2312" w:cs="仿宋_GB2312" w:eastAsia="仿宋_GB2312"/>
                <w:sz w:val="24"/>
                <w:color w:val="000000"/>
              </w:rPr>
              <w:t>1万元（10000元）进行处罚；第三次不符合要求，按照每人、每品类2万元（20000元）进行处罚后终止合同</w:t>
            </w:r>
            <w:r>
              <w:rPr>
                <w:rFonts w:ascii="仿宋_GB2312" w:hAnsi="仿宋_GB2312" w:cs="仿宋_GB2312" w:eastAsia="仿宋_GB2312"/>
                <w:sz w:val="24"/>
                <w:color w:val="000000"/>
              </w:rPr>
              <w:t>。</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自合同签订之日起一年或据实结算总额达到本项目预算金额时合同终止。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陕西省肿瘤医院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付清”为系统固定推述内容，具体付款方式以下列内容为准：（1）本项目为固定单价项目，不因市场因素、政府政策调整、费率调整和税收变化等而作任何调整，采购人不再支付单价以外的任何费用。（2）采购人依据洗涤数量及成交单价按月度向成交供应商据实结算。在付款前，由采购人核验成交供应商所提供的洗涤数量无误、品质合格后，成交供应商开具与结算金额一致的全额发票给采购人，否则采购人有权拒绝付款，且无须承担任何责任，成交供应商不得以此为由拒绝履行合同义务。（3）洗涤数量以采购人代表签字确认的“织物交接单”进行数量确认。（4）返洗织物不再结算费用。（5）如合同执行过程中，未列入清单的织物，确需清洗的，按照相同或相近规格织物洗涤中标单价执行。（6）采购人每月结算上月 (以自然月为准) 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响应保证金注意事项：（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扫描成清晰的PDF文件，发送至邮箱2973608682@qq.com（邮件命名：项目名称及包段名称+项目编号）；供应商应在响应文件中附保函复印件。保函必须由具有开具投标保函资格的单位开具；若供应商违约，开具保函单位承担连带责任；（2）响应保证金的提交金额、时间不满足磋商文件要求的，投标无效；（3）供应商未按指定账户提交响应保证金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分项报价清单.docx 服务实施方案.docx 质量管理方案.docx 设备配置清单表.docx 中小企业声明函 商务应答表 拟投入清洁剂、消毒剂等产品.docx 企业业绩.docx 报价表 拟投入的洗涤设备.docx 合理化建议.docx 拟投入洗涤场所方案.docx 响应文件封面 拟派项目经理.docx 残疾人福利性单位声明函 人员配置情况表.docx 标的清单 资格证明材料.docx 法定代表人或合法授权代表证明.docx 响应函 监狱企业的证明文件 配送服务方案.docx 应急保障方案.docx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分项报价清单.docx 服务实施方案.docx 质量管理方案.docx 设备配置清单表.docx 中小企业声明函 商务应答表 拟投入清洁剂、消毒剂等产品.docx 企业业绩.docx 报价表 拟投入的洗涤设备.docx 合理化建议.docx 拟投入洗涤场所方案.docx 响应文件封面 拟派项目经理.docx 残疾人福利性单位声明函 人员配置情况表.docx 标的清单 资格证明材料.docx 法定代表人或合法授权代表证明.docx 响应函 监狱企业的证明文件 配送服务方案.docx 应急保障方案.docx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分项报价清单.docx 服务实施方案.docx 质量管理方案.docx 设备配置清单表.docx 中小企业声明函 商务应答表 拟投入清洁剂、消毒剂等产品.docx 企业业绩.docx 报价表 拟投入的洗涤设备.docx 合理化建议.docx 拟投入洗涤场所方案.docx 响应文件封面 拟派项目经理.docx 残疾人福利性单位声明函 人员配置情况表.docx 标的清单 资格证明材料.docx 法定代表人或合法授权代表证明.docx 响应函 监狱企业的证明文件 配送服务方案.docx 应急保障方案.docx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响应文件是否响应本项目商务要求及服务内容及要求中的标记“★”条款</w:t>
            </w:r>
          </w:p>
        </w:tc>
        <w:tc>
          <w:tcPr>
            <w:tcW w:type="dxa" w:w="3322"/>
          </w:tcPr>
          <w:p>
            <w:pPr>
              <w:pStyle w:val="null3"/>
            </w:pPr>
            <w:r>
              <w:rPr>
                <w:rFonts w:ascii="仿宋_GB2312" w:hAnsi="仿宋_GB2312" w:cs="仿宋_GB2312" w:eastAsia="仿宋_GB2312"/>
              </w:rPr>
              <w:t>响应文件响应本项目商务要求及采购内容及要求中的标记“★”条款</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法定代表人或合法授权代表证明.docx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供应商提供针对本项目的质量管理方案，内容包含：1.洗涤质量标准；2.感控措施；3.客户服务标准；4.设备管理制度；5.预防洗涤物品破损、污染和丢失方案。 内容全面详细、阐述条理清晰，每有一项缺项扣3分，每有一处内容存在缺陷，扣1分，扣完为止。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质量管理方案.docx</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根据供应商针对本项目提供的实施方案，方案包含：1.收取、分拣；2.消毒；3.洗涤；4.折叠、熨烫；5.分发。 内容全面详细、阐述条理清晰，每有一项缺项扣3分，每有一处内容存在缺陷，扣1分，扣完为止。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拟投入的洗涤设备</w:t>
            </w:r>
          </w:p>
        </w:tc>
        <w:tc>
          <w:tcPr>
            <w:tcW w:type="dxa" w:w="2492"/>
          </w:tcPr>
          <w:p>
            <w:pPr>
              <w:pStyle w:val="null3"/>
            </w:pPr>
            <w:r>
              <w:rPr>
                <w:rFonts w:ascii="仿宋_GB2312" w:hAnsi="仿宋_GB2312" w:cs="仿宋_GB2312" w:eastAsia="仿宋_GB2312"/>
              </w:rPr>
              <w:t>供应商具有全套医用织物专业洗涤设备，需提供设备清单、设备购置发票（自有设备）或租赁合同等证明材料。 洗涤设备配备种类齐全、功能及数量科学、合理，证明材料完整，完全满足采购需求的，得5分； 洗涤设备配备种类齐全、功能及数量较为科学、合理，证明材料完整，完全满足采购需求的，得4分； 洗涤设备种类基本合理、数量稍有欠缺，部分功能缺失，但基本能够满足采购需求的，得3分； 洗涤设备数量配备存在部分不足，证明材料部分严重缺失的，得2分； 洗涤设备数量配备明显不足，证明材料缺失严重，无法保障项目实施的，得1分；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拟投入的洗涤设备.docx</w:t>
            </w:r>
          </w:p>
        </w:tc>
      </w:tr>
      <w:tr>
        <w:tc>
          <w:tcPr>
            <w:tcW w:type="dxa" w:w="831"/>
            <w:vMerge/>
          </w:tcPr>
          <w:p/>
        </w:tc>
        <w:tc>
          <w:tcPr>
            <w:tcW w:type="dxa" w:w="1661"/>
          </w:tcPr>
          <w:p>
            <w:pPr>
              <w:pStyle w:val="null3"/>
            </w:pPr>
            <w:r>
              <w:rPr>
                <w:rFonts w:ascii="仿宋_GB2312" w:hAnsi="仿宋_GB2312" w:cs="仿宋_GB2312" w:eastAsia="仿宋_GB2312"/>
              </w:rPr>
              <w:t>拟投入清洁剂、消毒剂等产品</w:t>
            </w:r>
          </w:p>
        </w:tc>
        <w:tc>
          <w:tcPr>
            <w:tcW w:type="dxa" w:w="2492"/>
          </w:tcPr>
          <w:p>
            <w:pPr>
              <w:pStyle w:val="null3"/>
            </w:pPr>
            <w:r>
              <w:rPr>
                <w:rFonts w:ascii="仿宋_GB2312" w:hAnsi="仿宋_GB2312" w:cs="仿宋_GB2312" w:eastAsia="仿宋_GB2312"/>
              </w:rPr>
              <w:t>供应商使用的洗涤剂为医用洗涤剂等符合国家有关规定，提供清洁剂、消毒剂等洗涤所用产品清单：内容至少包含：种类、品牌、功能、使用规范等内容。 供应商提供的洗涤剂产品符合国家医用织物洗涤要求，且提供了详细完整来源渠道证明文件的，得4分； 供应商提供的洗涤剂产品符合国家医用织物洗涤要求，提供了部分产品来源渠道证明文件的，得3分； 供应商提供的洗涤剂产品符合国家医用织物洗涤要求，产品来源渠道证明文件稍有欠缺的，得2分； 产品来源渠道证明文件内容单一、响应简单、粗略得1分；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拟投入清洁剂、消毒剂等产品.docx</w:t>
            </w:r>
          </w:p>
        </w:tc>
      </w:tr>
      <w:tr>
        <w:tc>
          <w:tcPr>
            <w:tcW w:type="dxa" w:w="831"/>
            <w:vMerge/>
          </w:tcPr>
          <w:p/>
        </w:tc>
        <w:tc>
          <w:tcPr>
            <w:tcW w:type="dxa" w:w="1661"/>
          </w:tcPr>
          <w:p>
            <w:pPr>
              <w:pStyle w:val="null3"/>
            </w:pPr>
            <w:r>
              <w:rPr>
                <w:rFonts w:ascii="仿宋_GB2312" w:hAnsi="仿宋_GB2312" w:cs="仿宋_GB2312" w:eastAsia="仿宋_GB2312"/>
              </w:rPr>
              <w:t>拟投入洗涤场所方案</w:t>
            </w:r>
          </w:p>
        </w:tc>
        <w:tc>
          <w:tcPr>
            <w:tcW w:type="dxa" w:w="2492"/>
          </w:tcPr>
          <w:p>
            <w:pPr>
              <w:pStyle w:val="null3"/>
            </w:pPr>
            <w:r>
              <w:rPr>
                <w:rFonts w:ascii="仿宋_GB2312" w:hAnsi="仿宋_GB2312" w:cs="仿宋_GB2312" w:eastAsia="仿宋_GB2312"/>
              </w:rPr>
              <w:t>供应商洗涤场所净污分离、物流不交叉、无逆流等措施方案。方案内容至少包含：1.内部布局满足项目服务需求； 2.提供符合国家相关安全生产规范要求证明材料；3.提供场所所有权或使用等证明材料。 内容全面详细、阐述条理清晰，每有一项缺项扣3分，每有一处内容存在缺陷，扣1分，扣完为止。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拟投入洗涤场所方案.docx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项目经理具备相关工作经验；提供简历表及相关证明材料的，得2分，未提供不得分。 备注：需对从业经验有具体描述内容，描述内容不符或无具体描述内容此项不得分。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供应商提供针对本项目的人员配备方案，内容至少包含：1.提供工作人员名单及人员分工安排；2.职责划分；3.人员从业经验等。 内容全面详细、阐述条理清晰，每有一项缺项扣3分，每有一处内容存在缺陷，扣1分，扣完为止。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人员配置情况表.docx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供应商须提供详细的应急保障方案，至少包含：1.停电、停汽、停水；2.机器故障、蒸汽供压异常；3.医院洗涤织物突然增多、紧急配送及突发公共卫生事件保障等内容。 内容全面详细、阐述条理清晰，每有一项缺项扣2分，每有一处内容存在缺陷，扣1分，扣完为止。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应急保障方案.docx</w:t>
            </w:r>
          </w:p>
        </w:tc>
      </w:tr>
      <w:tr>
        <w:tc>
          <w:tcPr>
            <w:tcW w:type="dxa" w:w="831"/>
            <w:vMerge/>
          </w:tcP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针对本项目提供配送方案，至少包含：1.配送车辆及车辆消毒管理；2.配送人员、配送时间、计划等。 内容全面详细、阐述条理清晰，每有一项缺项扣3分，每有一处内容存在缺陷，扣1分，扣完为止。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供应商提供针对本项目有明确的合理化建议。 合理化建议内容全面，科学合理，贴合项目实际情况且针对性强得4分； 合理化建议内容科学合理，较为贴合项目需求的得3分； 提出的合理化建议内容不贴合项目实际情况或内容中未包括具体实施细节及措施，得2分； 合理化建议内容简单粗略，不科学，不合理且缺乏详尽内容得1分；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供应商提供2023年3月1日至今提供同类项目业绩合同复印件（以合同签订时间为准），每提供一份得1分，最多得5分。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详见附件：法定代表人或合法授权代表证明.docx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详见附件：服务实施方案.docx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详见附件：拟派项目经理.docx</w:t>
      </w:r>
    </w:p>
    <w:p>
      <w:pPr>
        <w:pStyle w:val="null3"/>
        <w:ind w:firstLine="960"/>
      </w:pPr>
      <w:r>
        <w:rPr>
          <w:rFonts w:ascii="仿宋_GB2312" w:hAnsi="仿宋_GB2312" w:cs="仿宋_GB2312" w:eastAsia="仿宋_GB2312"/>
        </w:rPr>
        <w:t>详见附件：拟投入的洗涤设备.docx</w:t>
      </w:r>
    </w:p>
    <w:p>
      <w:pPr>
        <w:pStyle w:val="null3"/>
        <w:ind w:firstLine="960"/>
      </w:pPr>
      <w:r>
        <w:rPr>
          <w:rFonts w:ascii="仿宋_GB2312" w:hAnsi="仿宋_GB2312" w:cs="仿宋_GB2312" w:eastAsia="仿宋_GB2312"/>
        </w:rPr>
        <w:t>详见附件：拟投入清洁剂、消毒剂等产品.docx</w:t>
      </w:r>
    </w:p>
    <w:p>
      <w:pPr>
        <w:pStyle w:val="null3"/>
        <w:ind w:firstLine="960"/>
      </w:pPr>
      <w:r>
        <w:rPr>
          <w:rFonts w:ascii="仿宋_GB2312" w:hAnsi="仿宋_GB2312" w:cs="仿宋_GB2312" w:eastAsia="仿宋_GB2312"/>
        </w:rPr>
        <w:t>详见附件：拟投入洗涤场所方案.docx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详见附件：人员配置情况表.docx</w:t>
      </w:r>
    </w:p>
    <w:p>
      <w:pPr>
        <w:pStyle w:val="null3"/>
        <w:ind w:firstLine="960"/>
      </w:pPr>
      <w:r>
        <w:rPr>
          <w:rFonts w:ascii="仿宋_GB2312" w:hAnsi="仿宋_GB2312" w:cs="仿宋_GB2312" w:eastAsia="仿宋_GB2312"/>
        </w:rPr>
        <w:t>详见附件：应急保障方案.docx</w:t>
      </w:r>
    </w:p>
    <w:p>
      <w:pPr>
        <w:pStyle w:val="null3"/>
        <w:ind w:firstLine="960"/>
      </w:pPr>
      <w:r>
        <w:rPr>
          <w:rFonts w:ascii="仿宋_GB2312" w:hAnsi="仿宋_GB2312" w:cs="仿宋_GB2312" w:eastAsia="仿宋_GB2312"/>
        </w:rPr>
        <w:t>详见附件：质量管理方案.docx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详见附件：设备配置清单表.docx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