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4F16E">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宋体" w:hAnsi="宋体" w:cs="宋体"/>
          <w:b/>
          <w:bCs/>
          <w:spacing w:val="26"/>
          <w:sz w:val="44"/>
          <w:szCs w:val="44"/>
          <w:highlight w:val="none"/>
          <w:lang w:eastAsia="zh-CN"/>
        </w:rPr>
      </w:pPr>
    </w:p>
    <w:p w14:paraId="42EF13F9">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宋体" w:hAnsi="宋体" w:cs="宋体"/>
          <w:b/>
          <w:bCs/>
          <w:spacing w:val="26"/>
          <w:sz w:val="44"/>
          <w:szCs w:val="44"/>
          <w:highlight w:val="none"/>
          <w:lang w:eastAsia="zh-CN"/>
        </w:rPr>
      </w:pPr>
    </w:p>
    <w:p w14:paraId="6808C6A2">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宋体" w:hAnsi="宋体" w:cs="宋体"/>
          <w:b/>
          <w:bCs/>
          <w:spacing w:val="26"/>
          <w:sz w:val="44"/>
          <w:szCs w:val="44"/>
          <w:highlight w:val="none"/>
          <w:lang w:eastAsia="zh-CN"/>
        </w:rPr>
      </w:pPr>
    </w:p>
    <w:p w14:paraId="6C4494CB">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宋体" w:hAnsi="宋体" w:cs="宋体"/>
          <w:b/>
          <w:bCs/>
          <w:spacing w:val="26"/>
          <w:sz w:val="44"/>
          <w:szCs w:val="44"/>
          <w:highlight w:val="none"/>
          <w:lang w:eastAsia="zh-CN"/>
        </w:rPr>
      </w:pPr>
    </w:p>
    <w:p w14:paraId="495367F4">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宋体" w:hAnsi="宋体" w:cs="宋体"/>
          <w:b/>
          <w:bCs/>
          <w:spacing w:val="26"/>
          <w:sz w:val="36"/>
          <w:szCs w:val="36"/>
          <w:highlight w:val="none"/>
        </w:rPr>
      </w:pPr>
      <w:bookmarkStart w:id="35" w:name="_GoBack"/>
      <w:bookmarkEnd w:id="35"/>
      <w:r>
        <w:rPr>
          <w:rFonts w:hint="eastAsia" w:ascii="宋体" w:hAnsi="宋体" w:cs="宋体"/>
          <w:b/>
          <w:bCs/>
          <w:spacing w:val="26"/>
          <w:sz w:val="44"/>
          <w:szCs w:val="44"/>
          <w:highlight w:val="none"/>
          <w:lang w:eastAsia="zh-CN"/>
        </w:rPr>
        <w:t>陕西省肿瘤医院洗涤外包服务采购项目</w:t>
      </w:r>
    </w:p>
    <w:p w14:paraId="0F68F8CA">
      <w:pPr>
        <w:spacing w:line="360" w:lineRule="auto"/>
        <w:jc w:val="center"/>
        <w:rPr>
          <w:rFonts w:hint="eastAsia" w:ascii="宋体" w:hAnsi="宋体" w:cs="宋体"/>
          <w:b/>
          <w:bCs/>
          <w:spacing w:val="26"/>
          <w:sz w:val="84"/>
          <w:szCs w:val="84"/>
          <w:highlight w:val="none"/>
        </w:rPr>
      </w:pPr>
    </w:p>
    <w:p w14:paraId="1DA25245">
      <w:pPr>
        <w:pStyle w:val="2"/>
        <w:rPr>
          <w:rFonts w:hint="eastAsia"/>
          <w:highlight w:val="none"/>
          <w:lang w:eastAsia="zh-CN"/>
        </w:rPr>
      </w:pPr>
    </w:p>
    <w:p w14:paraId="23B18F7A">
      <w:pPr>
        <w:spacing w:line="360" w:lineRule="auto"/>
        <w:jc w:val="center"/>
        <w:rPr>
          <w:rFonts w:hint="eastAsia" w:ascii="宋体" w:hAnsi="宋体" w:cs="宋体"/>
          <w:b/>
          <w:bCs/>
          <w:sz w:val="84"/>
          <w:szCs w:val="84"/>
          <w:highlight w:val="none"/>
        </w:rPr>
      </w:pPr>
      <w:r>
        <w:rPr>
          <w:rFonts w:hint="eastAsia" w:ascii="宋体" w:hAnsi="宋体" w:cs="宋体"/>
          <w:b/>
          <w:bCs/>
          <w:sz w:val="84"/>
          <w:szCs w:val="84"/>
          <w:highlight w:val="none"/>
        </w:rPr>
        <w:t>服务合同</w:t>
      </w:r>
    </w:p>
    <w:p w14:paraId="205A2473">
      <w:pPr>
        <w:spacing w:line="360" w:lineRule="auto"/>
        <w:jc w:val="center"/>
        <w:rPr>
          <w:rFonts w:hint="eastAsia" w:ascii="宋体" w:hAnsi="宋体" w:cs="宋体"/>
          <w:b/>
          <w:bCs/>
          <w:spacing w:val="26"/>
          <w:sz w:val="36"/>
          <w:szCs w:val="36"/>
          <w:highlight w:val="none"/>
        </w:rPr>
      </w:pPr>
      <w:r>
        <w:rPr>
          <w:rFonts w:hint="eastAsia" w:ascii="宋体" w:hAnsi="宋体" w:cs="宋体"/>
          <w:b/>
          <w:bCs/>
          <w:sz w:val="32"/>
          <w:szCs w:val="32"/>
          <w:highlight w:val="none"/>
        </w:rPr>
        <w:t>项目编号：</w:t>
      </w:r>
      <w:r>
        <w:rPr>
          <w:rFonts w:hint="eastAsia" w:ascii="宋体" w:hAnsi="宋体" w:cs="宋体"/>
          <w:b/>
          <w:bCs/>
          <w:spacing w:val="26"/>
          <w:sz w:val="36"/>
          <w:szCs w:val="36"/>
          <w:highlight w:val="none"/>
        </w:rPr>
        <w:t xml:space="preserve"> </w:t>
      </w:r>
    </w:p>
    <w:p w14:paraId="721E7FF7">
      <w:pPr>
        <w:spacing w:line="360" w:lineRule="auto"/>
        <w:rPr>
          <w:rFonts w:hint="eastAsia" w:ascii="宋体" w:hAnsi="宋体" w:cs="宋体"/>
          <w:b/>
          <w:sz w:val="32"/>
          <w:szCs w:val="32"/>
          <w:highlight w:val="none"/>
        </w:rPr>
      </w:pPr>
    </w:p>
    <w:p w14:paraId="6F8A88D4">
      <w:pPr>
        <w:spacing w:line="360" w:lineRule="auto"/>
        <w:rPr>
          <w:rFonts w:hint="eastAsia" w:ascii="宋体" w:hAnsi="宋体" w:cs="宋体"/>
          <w:b/>
          <w:sz w:val="32"/>
          <w:szCs w:val="32"/>
          <w:highlight w:val="none"/>
        </w:rPr>
      </w:pPr>
    </w:p>
    <w:p w14:paraId="31F04B41">
      <w:pPr>
        <w:spacing w:line="360" w:lineRule="auto"/>
        <w:rPr>
          <w:rFonts w:hint="eastAsia" w:ascii="宋体" w:hAnsi="宋体" w:cs="宋体"/>
          <w:b/>
          <w:sz w:val="32"/>
          <w:szCs w:val="32"/>
          <w:highlight w:val="none"/>
        </w:rPr>
      </w:pPr>
    </w:p>
    <w:p w14:paraId="2D6A8760">
      <w:pPr>
        <w:spacing w:line="360" w:lineRule="auto"/>
        <w:rPr>
          <w:rFonts w:hint="eastAsia" w:ascii="宋体" w:hAnsi="宋体" w:cs="宋体"/>
          <w:b/>
          <w:sz w:val="32"/>
          <w:szCs w:val="32"/>
          <w:highlight w:val="none"/>
        </w:rPr>
      </w:pPr>
    </w:p>
    <w:p w14:paraId="38493CA8">
      <w:pPr>
        <w:pStyle w:val="2"/>
        <w:rPr>
          <w:rFonts w:hint="eastAsia"/>
          <w:highlight w:val="none"/>
          <w:lang w:eastAsia="zh-CN"/>
        </w:rPr>
      </w:pPr>
    </w:p>
    <w:p w14:paraId="60785AF0">
      <w:pPr>
        <w:rPr>
          <w:rFonts w:hint="eastAsia"/>
          <w:highlight w:val="none"/>
        </w:rPr>
      </w:pPr>
    </w:p>
    <w:p w14:paraId="67F50089">
      <w:pPr>
        <w:spacing w:line="360" w:lineRule="auto"/>
        <w:rPr>
          <w:rFonts w:hint="eastAsia" w:ascii="宋体" w:hAnsi="宋体" w:cs="宋体"/>
          <w:b/>
          <w:sz w:val="32"/>
          <w:szCs w:val="32"/>
          <w:highlight w:val="none"/>
        </w:rPr>
      </w:pPr>
    </w:p>
    <w:p w14:paraId="01B665AD">
      <w:pPr>
        <w:spacing w:line="360" w:lineRule="auto"/>
        <w:ind w:left="0" w:leftChars="0" w:firstLine="2527" w:firstLineChars="839"/>
        <w:jc w:val="left"/>
        <w:rPr>
          <w:rFonts w:hint="default" w:ascii="宋体" w:hAnsi="宋体" w:cs="宋体"/>
          <w:b/>
          <w:bCs/>
          <w:sz w:val="30"/>
          <w:szCs w:val="30"/>
          <w:highlight w:val="none"/>
          <w:u w:val="single"/>
          <w:lang w:val="en-US"/>
        </w:rPr>
      </w:pPr>
      <w:r>
        <w:rPr>
          <w:rFonts w:hint="eastAsia" w:ascii="宋体" w:hAnsi="宋体" w:cs="宋体"/>
          <w:b/>
          <w:bCs/>
          <w:sz w:val="30"/>
          <w:szCs w:val="30"/>
          <w:highlight w:val="none"/>
        </w:rPr>
        <w:t>甲方：</w:t>
      </w:r>
      <w:r>
        <w:rPr>
          <w:rFonts w:hint="eastAsia" w:ascii="宋体" w:hAnsi="宋体" w:cs="宋体"/>
          <w:b/>
          <w:bCs/>
          <w:sz w:val="30"/>
          <w:szCs w:val="30"/>
          <w:highlight w:val="none"/>
          <w:u w:val="single"/>
        </w:rPr>
        <w:t xml:space="preserve">     </w:t>
      </w:r>
      <w:r>
        <w:rPr>
          <w:rFonts w:hint="eastAsia" w:ascii="宋体" w:hAnsi="宋体" w:cs="宋体"/>
          <w:b/>
          <w:bCs/>
          <w:sz w:val="30"/>
          <w:szCs w:val="30"/>
          <w:highlight w:val="none"/>
          <w:u w:val="single"/>
          <w:lang w:eastAsia="zh-CN"/>
        </w:rPr>
        <w:t>陕西省肿瘤医院</w:t>
      </w:r>
      <w:r>
        <w:rPr>
          <w:rFonts w:hint="eastAsia" w:ascii="宋体" w:hAnsi="宋体" w:cs="宋体"/>
          <w:b/>
          <w:bCs/>
          <w:sz w:val="30"/>
          <w:szCs w:val="30"/>
          <w:highlight w:val="none"/>
          <w:u w:val="single"/>
          <w:lang w:val="en-US" w:eastAsia="zh-CN"/>
        </w:rPr>
        <w:t xml:space="preserve">   </w:t>
      </w:r>
    </w:p>
    <w:p w14:paraId="27EB06FD">
      <w:pPr>
        <w:spacing w:line="360" w:lineRule="auto"/>
        <w:ind w:left="0" w:leftChars="0" w:firstLine="2527" w:firstLineChars="839"/>
        <w:jc w:val="left"/>
        <w:rPr>
          <w:rFonts w:hint="default" w:ascii="宋体" w:hAnsi="宋体" w:eastAsia="宋体" w:cs="宋体"/>
          <w:b/>
          <w:bCs/>
          <w:sz w:val="30"/>
          <w:szCs w:val="30"/>
          <w:highlight w:val="none"/>
          <w:lang w:val="en-US" w:eastAsia="zh-CN"/>
        </w:rPr>
      </w:pPr>
      <w:r>
        <w:rPr>
          <w:rFonts w:hint="eastAsia" w:ascii="宋体" w:hAnsi="宋体" w:cs="宋体"/>
          <w:b/>
          <w:bCs/>
          <w:sz w:val="30"/>
          <w:szCs w:val="30"/>
          <w:highlight w:val="none"/>
        </w:rPr>
        <w:t>乙方：</w:t>
      </w:r>
      <w:r>
        <w:rPr>
          <w:rFonts w:hint="eastAsia" w:ascii="宋体" w:hAnsi="宋体" w:cs="宋体"/>
          <w:b/>
          <w:bCs/>
          <w:sz w:val="30"/>
          <w:szCs w:val="30"/>
          <w:highlight w:val="none"/>
          <w:u w:val="single"/>
          <w:lang w:val="en-US" w:eastAsia="zh-CN"/>
        </w:rPr>
        <w:t xml:space="preserve">                      </w:t>
      </w:r>
    </w:p>
    <w:p w14:paraId="7D154410">
      <w:pPr>
        <w:ind w:left="0" w:leftChars="0" w:firstLine="2525" w:firstLineChars="715"/>
        <w:jc w:val="left"/>
        <w:rPr>
          <w:rFonts w:hint="eastAsia" w:ascii="宋体" w:hAnsi="宋体" w:cs="宋体"/>
          <w:highlight w:val="none"/>
        </w:rPr>
      </w:pPr>
      <w:r>
        <w:rPr>
          <w:rFonts w:hint="eastAsia" w:ascii="宋体" w:hAnsi="宋体" w:cs="宋体"/>
          <w:b/>
          <w:bCs/>
          <w:spacing w:val="26"/>
          <w:sz w:val="30"/>
          <w:szCs w:val="30"/>
          <w:highlight w:val="none"/>
        </w:rPr>
        <w:t>日期：</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年</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月</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日</w:t>
      </w:r>
    </w:p>
    <w:p w14:paraId="48A67108">
      <w:pPr>
        <w:rPr>
          <w:rFonts w:hint="eastAsia" w:ascii="宋体" w:hAnsi="宋体" w:cs="宋体"/>
          <w:highlight w:val="none"/>
        </w:rPr>
      </w:pPr>
    </w:p>
    <w:p w14:paraId="47CE298F">
      <w:pPr>
        <w:rPr>
          <w:rFonts w:hint="eastAsia" w:ascii="宋体" w:hAnsi="宋体" w:cs="宋体"/>
          <w:highlight w:val="none"/>
        </w:rPr>
      </w:pPr>
    </w:p>
    <w:p w14:paraId="5C5C258D">
      <w:pPr>
        <w:rPr>
          <w:rFonts w:hint="eastAsia" w:ascii="宋体" w:hAnsi="宋体" w:cs="宋体"/>
          <w:highlight w:val="none"/>
        </w:rPr>
      </w:pPr>
    </w:p>
    <w:p w14:paraId="48743666">
      <w:pPr>
        <w:adjustRightInd w:val="0"/>
        <w:snapToGrid w:val="0"/>
        <w:spacing w:line="360" w:lineRule="auto"/>
        <w:rPr>
          <w:rFonts w:hint="eastAsia" w:ascii="宋体" w:hAnsi="宋体" w:cs="宋体"/>
          <w:b/>
          <w:sz w:val="24"/>
          <w:highlight w:val="none"/>
        </w:rPr>
      </w:pPr>
    </w:p>
    <w:p w14:paraId="068F9DB7">
      <w:pPr>
        <w:adjustRightInd w:val="0"/>
        <w:snapToGrid w:val="0"/>
        <w:spacing w:line="360" w:lineRule="auto"/>
        <w:rPr>
          <w:rFonts w:hint="eastAsia" w:ascii="宋体" w:hAnsi="宋体" w:cs="宋体"/>
          <w:b/>
          <w:sz w:val="24"/>
          <w:highlight w:val="none"/>
        </w:rPr>
      </w:pPr>
    </w:p>
    <w:p w14:paraId="06075DB4">
      <w:pPr>
        <w:spacing w:line="360" w:lineRule="auto"/>
        <w:jc w:val="center"/>
        <w:rPr>
          <w:rFonts w:ascii="宋体" w:hAnsi="宋体" w:eastAsia="宋体" w:cs="宋体"/>
          <w:b/>
          <w:sz w:val="30"/>
          <w:szCs w:val="30"/>
          <w:highlight w:val="none"/>
        </w:rPr>
      </w:pPr>
      <w:r>
        <w:rPr>
          <w:rFonts w:hint="eastAsia" w:ascii="宋体" w:hAnsi="宋体" w:eastAsia="宋体" w:cs="宋体"/>
          <w:b/>
          <w:sz w:val="44"/>
          <w:szCs w:val="44"/>
          <w:highlight w:val="none"/>
        </w:rPr>
        <w:t>服务合同</w:t>
      </w:r>
    </w:p>
    <w:p w14:paraId="638F7F6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甲  方：陕西省肿瘤医院</w:t>
      </w:r>
    </w:p>
    <w:p w14:paraId="582B875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rPr>
        <w:t>乙  方：</w:t>
      </w:r>
      <w:r>
        <w:rPr>
          <w:rFonts w:hint="eastAsia" w:ascii="宋体" w:hAnsi="宋体" w:eastAsia="宋体" w:cs="宋体"/>
          <w:sz w:val="24"/>
          <w:szCs w:val="24"/>
          <w:u w:val="single"/>
          <w:lang w:val="en-US" w:eastAsia="zh-CN"/>
        </w:rPr>
        <w:t xml:space="preserve">              </w:t>
      </w:r>
    </w:p>
    <w:p w14:paraId="6BF2D29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p>
    <w:p w14:paraId="649491D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u w:val="single"/>
        </w:rPr>
        <w:t>陕西省肿瘤医院</w:t>
      </w:r>
      <w:r>
        <w:rPr>
          <w:rFonts w:hint="eastAsia" w:ascii="宋体" w:hAnsi="宋体" w:eastAsia="宋体" w:cs="宋体"/>
          <w:sz w:val="24"/>
          <w:szCs w:val="24"/>
          <w:u w:val="single"/>
          <w:lang w:eastAsia="zh-CN"/>
        </w:rPr>
        <w:t>洗涤外包服务采购项目</w:t>
      </w:r>
      <w:r>
        <w:rPr>
          <w:rFonts w:hint="eastAsia" w:ascii="宋体" w:hAnsi="宋体" w:eastAsia="宋体" w:cs="宋体"/>
          <w:sz w:val="24"/>
          <w:szCs w:val="24"/>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)，采购人陕西省肿瘤医院(以下简称“甲方”)确定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公司（以下简称“乙方”）为中标</w:t>
      </w:r>
      <w:r>
        <w:rPr>
          <w:rFonts w:hint="eastAsia" w:ascii="宋体" w:hAnsi="宋体" w:eastAsia="宋体" w:cs="宋体"/>
          <w:sz w:val="24"/>
          <w:szCs w:val="24"/>
          <w:lang w:val="en-US" w:eastAsia="zh-CN"/>
        </w:rPr>
        <w:t>人</w:t>
      </w:r>
      <w:r>
        <w:rPr>
          <w:rFonts w:hint="eastAsia" w:ascii="宋体" w:hAnsi="宋体" w:eastAsia="宋体" w:cs="宋体"/>
          <w:sz w:val="24"/>
          <w:szCs w:val="24"/>
        </w:rPr>
        <w:t>。</w:t>
      </w:r>
    </w:p>
    <w:p w14:paraId="2A6D9EA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依据《中华人民共和国民法典》和《中华人民共和国政府采购法》，甲方通过招标采购，并接受了乙方以价格 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（小写：￥</w:t>
      </w:r>
      <w:r>
        <w:rPr>
          <w:rFonts w:hint="eastAsia" w:ascii="宋体" w:hAnsi="宋体" w:eastAsia="宋体" w:cs="宋体"/>
          <w:sz w:val="24"/>
          <w:szCs w:val="24"/>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元）</w:t>
      </w:r>
    </w:p>
    <w:p w14:paraId="7A3DAF8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(以下简称“合同价”)提供的产品及服务。甲乙双方秉承公平公正的原则，达成本合同书中规定的各项条款。</w:t>
      </w:r>
    </w:p>
    <w:p w14:paraId="621840E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合同标的物</w:t>
      </w:r>
    </w:p>
    <w:tbl>
      <w:tblPr>
        <w:tblStyle w:val="3"/>
        <w:tblW w:w="79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03"/>
        <w:gridCol w:w="2340"/>
        <w:gridCol w:w="4296"/>
      </w:tblGrid>
      <w:tr w14:paraId="76CAE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190A7D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3ABEB6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品类</w:t>
            </w:r>
          </w:p>
        </w:tc>
        <w:tc>
          <w:tcPr>
            <w:tcW w:w="4296" w:type="dxa"/>
            <w:tcBorders>
              <w:top w:val="single" w:color="000000" w:sz="4" w:space="0"/>
              <w:left w:val="single" w:color="000000" w:sz="4" w:space="0"/>
              <w:bottom w:val="single" w:color="000000" w:sz="4" w:space="0"/>
              <w:right w:val="single" w:color="000000" w:sz="4" w:space="0"/>
            </w:tcBorders>
            <w:noWrap w:val="0"/>
            <w:vAlign w:val="center"/>
          </w:tcPr>
          <w:p w14:paraId="2F6898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单价（元）</w:t>
            </w:r>
          </w:p>
        </w:tc>
      </w:tr>
      <w:tr w14:paraId="0D582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663362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356D7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床单</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5CC89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5B21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05E292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79002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被套</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641DC0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538A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422E09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13A4F5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枕套</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5ABDB3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4326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60DDEF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0C058B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枕芯</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037FD6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CCBE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74CAF7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5BF58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病员服</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87C48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1524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0E0BFC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C40B5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棉被</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A321E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303E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100F7C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1A7FE1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棉褥</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985D1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45D0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2C75A1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1CA4F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工作服</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26F70D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ED2B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749C98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C027D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工作裤</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4F0856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0BFA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534DA6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48399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大口袋</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212E00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3FCD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1B6348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758FA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中单</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E9F0D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2C13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0BBBDA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53AC8F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刨腹单</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9D182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E494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6DDBD4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696782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治疗巾</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34E61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FBBE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22C5A4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B9806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手术衣</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1035FE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7E7D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06317F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3E1A0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洗手衣</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F6E0E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D7A4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2BA868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036D6D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洗手裤</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13E85B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6BFC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3EC078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128228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大包皮</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59CF7F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ACD9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26BAFC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8020B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中包皮</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131A12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3734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67141A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52B9F7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小包皮</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7BBA17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F757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0CCD94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1DB712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洞巾</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57AF53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2033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030988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B96FD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巡回衣</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5AC0B0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8BC9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2A9CF8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1781D8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拖鞋</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6ABDA6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0B5C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3467AF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4C5D28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窗帘</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0F76C4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F1E4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22F3B0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E9FDA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毛衣</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AD0CC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38A3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1303" w:type="dxa"/>
            <w:tcBorders>
              <w:top w:val="single" w:color="000000" w:sz="4" w:space="0"/>
              <w:left w:val="single" w:color="000000" w:sz="4" w:space="0"/>
              <w:bottom w:val="single" w:color="000000" w:sz="4" w:space="0"/>
              <w:right w:val="single" w:color="000000" w:sz="4" w:space="0"/>
            </w:tcBorders>
            <w:noWrap/>
            <w:vAlign w:val="center"/>
          </w:tcPr>
          <w:p w14:paraId="055F28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340" w:type="dxa"/>
            <w:tcBorders>
              <w:top w:val="single" w:color="000000" w:sz="4" w:space="0"/>
              <w:left w:val="single" w:color="000000" w:sz="4" w:space="0"/>
              <w:bottom w:val="single" w:color="000000" w:sz="4" w:space="0"/>
              <w:right w:val="single" w:color="000000" w:sz="4" w:space="0"/>
            </w:tcBorders>
            <w:noWrap w:val="0"/>
            <w:vAlign w:val="center"/>
          </w:tcPr>
          <w:p w14:paraId="28E048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羽绒服</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34BB65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F379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jc w:val="center"/>
        </w:trPr>
        <w:tc>
          <w:tcPr>
            <w:tcW w:w="3643" w:type="dxa"/>
            <w:gridSpan w:val="2"/>
            <w:tcBorders>
              <w:top w:val="single" w:color="000000" w:sz="4" w:space="0"/>
              <w:left w:val="single" w:color="000000" w:sz="4" w:space="0"/>
              <w:bottom w:val="single" w:color="000000" w:sz="4" w:space="0"/>
              <w:right w:val="single" w:color="000000" w:sz="4" w:space="0"/>
            </w:tcBorders>
            <w:noWrap/>
            <w:vAlign w:val="center"/>
          </w:tcPr>
          <w:p w14:paraId="0889AF95">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单价合计（元）</w:t>
            </w:r>
          </w:p>
        </w:tc>
        <w:tc>
          <w:tcPr>
            <w:tcW w:w="4296" w:type="dxa"/>
            <w:tcBorders>
              <w:top w:val="single" w:color="000000" w:sz="4" w:space="0"/>
              <w:left w:val="single" w:color="000000" w:sz="4" w:space="0"/>
              <w:bottom w:val="single" w:color="000000" w:sz="4" w:space="0"/>
              <w:right w:val="single" w:color="000000" w:sz="4" w:space="0"/>
            </w:tcBorders>
            <w:noWrap/>
            <w:vAlign w:val="center"/>
          </w:tcPr>
          <w:p w14:paraId="1F5D4F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bl>
    <w:p w14:paraId="18F6D41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交付条件</w:t>
      </w:r>
    </w:p>
    <w:p w14:paraId="08934E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服务</w:t>
      </w:r>
      <w:r>
        <w:rPr>
          <w:rFonts w:hint="eastAsia" w:ascii="宋体" w:hAnsi="宋体" w:eastAsia="宋体" w:cs="宋体"/>
          <w:sz w:val="24"/>
          <w:szCs w:val="24"/>
        </w:rPr>
        <w:t>地点：陕西省肿瘤医院。</w:t>
      </w:r>
    </w:p>
    <w:p w14:paraId="708A22B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eastAsia="zh-CN"/>
        </w:rPr>
        <w:t>服务期限</w:t>
      </w:r>
      <w:r>
        <w:rPr>
          <w:rFonts w:hint="eastAsia" w:ascii="宋体" w:hAnsi="宋体" w:eastAsia="宋体" w:cs="宋体"/>
          <w:sz w:val="24"/>
          <w:szCs w:val="24"/>
        </w:rPr>
        <w:t>：自合同签订之日起一年或据实结算总额达到本项目预算金额时合同终止</w:t>
      </w:r>
    </w:p>
    <w:p w14:paraId="7DC3056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合同价款</w:t>
      </w:r>
    </w:p>
    <w:p w14:paraId="6DD5A7C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（一）本合同</w:t>
      </w:r>
      <w:r>
        <w:rPr>
          <w:rFonts w:hint="eastAsia" w:ascii="宋体" w:hAnsi="宋体" w:eastAsia="宋体" w:cs="宋体"/>
          <w:b w:val="0"/>
          <w:bCs w:val="0"/>
          <w:sz w:val="24"/>
          <w:szCs w:val="24"/>
          <w:lang w:val="en-US" w:eastAsia="zh-CN"/>
        </w:rPr>
        <w:t>单价合计</w:t>
      </w:r>
      <w:r>
        <w:rPr>
          <w:rFonts w:hint="eastAsia" w:ascii="宋体" w:hAnsi="宋体" w:eastAsia="宋体" w:cs="宋体"/>
          <w:b w:val="0"/>
          <w:bCs w:val="0"/>
          <w:sz w:val="24"/>
          <w:szCs w:val="24"/>
        </w:rPr>
        <w:t>价款（含税价）为人民币（大写</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 xml:space="preserve"> </w:t>
      </w:r>
      <w:r>
        <w:rPr>
          <w:rFonts w:hint="eastAsia" w:ascii="宋体" w:hAnsi="宋体" w:eastAsia="宋体" w:cs="宋体"/>
          <w:b w:val="0"/>
          <w:bCs w:val="0"/>
          <w:sz w:val="24"/>
          <w:szCs w:val="24"/>
        </w:rPr>
        <w:t>（小写：￥</w:t>
      </w:r>
      <w:r>
        <w:rPr>
          <w:rFonts w:hint="eastAsia" w:ascii="宋体" w:hAnsi="宋体" w:eastAsia="宋体" w:cs="宋体"/>
          <w:b w:val="0"/>
          <w:bCs w:val="0"/>
          <w:sz w:val="24"/>
          <w:szCs w:val="24"/>
          <w:u w:val="single"/>
          <w:lang w:eastAsia="zh-CN"/>
        </w:rPr>
        <w:t xml:space="preserve">    </w:t>
      </w:r>
      <w:r>
        <w:rPr>
          <w:rFonts w:hint="eastAsia" w:ascii="宋体" w:hAnsi="宋体" w:eastAsia="宋体" w:cs="宋体"/>
          <w:b w:val="0"/>
          <w:bCs w:val="0"/>
          <w:sz w:val="24"/>
          <w:szCs w:val="24"/>
        </w:rPr>
        <w:t>元）。</w:t>
      </w:r>
    </w:p>
    <w:p w14:paraId="22443F2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val="0"/>
          <w:sz w:val="24"/>
          <w:szCs w:val="24"/>
          <w:lang w:val="en-US" w:eastAsia="zh-CN"/>
        </w:rPr>
      </w:pPr>
      <w:r>
        <w:rPr>
          <w:rFonts w:hint="eastAsia" w:ascii="宋体" w:hAnsi="宋体" w:eastAsia="宋体" w:cs="宋体"/>
          <w:sz w:val="24"/>
          <w:szCs w:val="24"/>
        </w:rPr>
        <w:t>（二）</w:t>
      </w:r>
      <w:r>
        <w:rPr>
          <w:rFonts w:hint="eastAsia" w:ascii="宋体" w:hAnsi="宋体" w:eastAsia="宋体" w:cs="宋体"/>
          <w:b w:val="0"/>
          <w:bCs w:val="0"/>
          <w:sz w:val="24"/>
          <w:szCs w:val="24"/>
          <w:lang w:val="en-US" w:eastAsia="zh-CN"/>
        </w:rPr>
        <w:t>本项目为固定单价项目，不因市场因素、政府政策调整、费率调整和税收变化等而作任何调整，甲方不再支付单价以外的任何费用。</w:t>
      </w:r>
    </w:p>
    <w:p w14:paraId="639B44B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款项结算</w:t>
      </w:r>
    </w:p>
    <w:p w14:paraId="139D56B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一</w:t>
      </w:r>
      <w:r>
        <w:rPr>
          <w:rFonts w:hint="eastAsia" w:ascii="宋体" w:hAnsi="宋体" w:eastAsia="宋体" w:cs="宋体"/>
          <w:sz w:val="24"/>
          <w:szCs w:val="24"/>
        </w:rPr>
        <w:t>）依据洗涤数量及</w:t>
      </w:r>
      <w:r>
        <w:rPr>
          <w:rFonts w:hint="eastAsia" w:ascii="宋体" w:hAnsi="宋体" w:eastAsia="宋体" w:cs="宋体"/>
          <w:sz w:val="24"/>
          <w:szCs w:val="24"/>
          <w:lang w:val="en-US" w:eastAsia="zh-CN"/>
        </w:rPr>
        <w:t>成交</w:t>
      </w:r>
      <w:r>
        <w:rPr>
          <w:rFonts w:hint="eastAsia" w:ascii="宋体" w:hAnsi="宋体" w:eastAsia="宋体" w:cs="宋体"/>
          <w:sz w:val="24"/>
          <w:szCs w:val="24"/>
        </w:rPr>
        <w:t>单价按月度据实结算。在付款前，由</w:t>
      </w:r>
      <w:r>
        <w:rPr>
          <w:rFonts w:hint="eastAsia" w:ascii="宋体" w:hAnsi="宋体" w:eastAsia="宋体" w:cs="宋体"/>
          <w:sz w:val="24"/>
          <w:szCs w:val="24"/>
          <w:lang w:val="en-US" w:eastAsia="zh-CN"/>
        </w:rPr>
        <w:t>甲方</w:t>
      </w:r>
      <w:r>
        <w:rPr>
          <w:rFonts w:hint="eastAsia" w:ascii="宋体" w:hAnsi="宋体" w:eastAsia="宋体" w:cs="宋体"/>
          <w:sz w:val="24"/>
          <w:szCs w:val="24"/>
        </w:rPr>
        <w:t>核验</w:t>
      </w:r>
      <w:r>
        <w:rPr>
          <w:rFonts w:hint="eastAsia" w:ascii="宋体" w:hAnsi="宋体" w:eastAsia="宋体" w:cs="宋体"/>
          <w:sz w:val="24"/>
          <w:szCs w:val="24"/>
          <w:lang w:val="en-US" w:eastAsia="zh-CN"/>
        </w:rPr>
        <w:t>乙方</w:t>
      </w:r>
      <w:r>
        <w:rPr>
          <w:rFonts w:hint="eastAsia" w:ascii="宋体" w:hAnsi="宋体" w:eastAsia="宋体" w:cs="宋体"/>
          <w:sz w:val="24"/>
          <w:szCs w:val="24"/>
        </w:rPr>
        <w:t>所提供的洗涤数量无误、品质合格后，</w:t>
      </w:r>
      <w:r>
        <w:rPr>
          <w:rFonts w:hint="eastAsia" w:ascii="宋体" w:hAnsi="宋体" w:eastAsia="宋体" w:cs="宋体"/>
          <w:sz w:val="24"/>
          <w:szCs w:val="24"/>
          <w:lang w:val="en-US" w:eastAsia="zh-CN"/>
        </w:rPr>
        <w:t>乙方</w:t>
      </w:r>
      <w:r>
        <w:rPr>
          <w:rFonts w:hint="eastAsia" w:ascii="宋体" w:hAnsi="宋体" w:eastAsia="宋体" w:cs="宋体"/>
          <w:sz w:val="24"/>
          <w:szCs w:val="24"/>
        </w:rPr>
        <w:t>开具与结算金额一致的全额发票给</w:t>
      </w:r>
      <w:r>
        <w:rPr>
          <w:rFonts w:hint="eastAsia" w:ascii="宋体" w:hAnsi="宋体" w:eastAsia="宋体" w:cs="宋体"/>
          <w:sz w:val="24"/>
          <w:szCs w:val="24"/>
          <w:lang w:val="en-US" w:eastAsia="zh-CN"/>
        </w:rPr>
        <w:t>甲方</w:t>
      </w:r>
      <w:r>
        <w:rPr>
          <w:rFonts w:hint="eastAsia" w:ascii="宋体" w:hAnsi="宋体" w:eastAsia="宋体" w:cs="宋体"/>
          <w:sz w:val="24"/>
          <w:szCs w:val="24"/>
        </w:rPr>
        <w:t>，否则甲方有权拒绝付款，且无须承担任何责任，</w:t>
      </w:r>
      <w:r>
        <w:rPr>
          <w:rFonts w:hint="eastAsia" w:ascii="宋体" w:hAnsi="宋体" w:eastAsia="宋体" w:cs="宋体"/>
          <w:sz w:val="24"/>
          <w:szCs w:val="24"/>
          <w:lang w:val="en-US" w:eastAsia="zh-CN"/>
        </w:rPr>
        <w:t>乙方</w:t>
      </w:r>
      <w:r>
        <w:rPr>
          <w:rFonts w:hint="eastAsia" w:ascii="宋体" w:hAnsi="宋体" w:eastAsia="宋体" w:cs="宋体"/>
          <w:sz w:val="24"/>
          <w:szCs w:val="24"/>
        </w:rPr>
        <w:t>不得以此为由拒绝履行合同义务。</w:t>
      </w:r>
    </w:p>
    <w:p w14:paraId="590147E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洗涤数量以</w:t>
      </w:r>
      <w:r>
        <w:rPr>
          <w:rFonts w:hint="eastAsia" w:ascii="宋体" w:hAnsi="宋体" w:eastAsia="宋体" w:cs="宋体"/>
          <w:sz w:val="24"/>
          <w:szCs w:val="24"/>
          <w:lang w:val="en-US" w:eastAsia="zh-CN"/>
        </w:rPr>
        <w:t>甲方</w:t>
      </w:r>
      <w:r>
        <w:rPr>
          <w:rFonts w:hint="eastAsia" w:ascii="宋体" w:hAnsi="宋体" w:eastAsia="宋体" w:cs="宋体"/>
          <w:sz w:val="24"/>
          <w:szCs w:val="24"/>
        </w:rPr>
        <w:t>签字确认的“织物交接单”进行数量确认。</w:t>
      </w:r>
    </w:p>
    <w:p w14:paraId="2835065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返洗织物不再结算费用。</w:t>
      </w:r>
    </w:p>
    <w:p w14:paraId="659BBDB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如合同执行过程中，未列入清单的织物，确需清洗的，按照相同或相近规格织物洗涤中标单价执行。</w:t>
      </w:r>
    </w:p>
    <w:p w14:paraId="4A4D50B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每月结算上月(以自然月为准)服务费。</w:t>
      </w:r>
    </w:p>
    <w:p w14:paraId="7E30052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（二）甲、乙双方银行账户、地址、账号、纳税人等信息如下：</w:t>
      </w:r>
    </w:p>
    <w:p w14:paraId="42C25E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254000</wp:posOffset>
                </wp:positionH>
                <wp:positionV relativeFrom="paragraph">
                  <wp:posOffset>73660</wp:posOffset>
                </wp:positionV>
                <wp:extent cx="2458720" cy="3704590"/>
                <wp:effectExtent l="0" t="0" r="0" b="0"/>
                <wp:wrapSquare wrapText="bothSides"/>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458720" cy="3704590"/>
                        </a:xfrm>
                        <a:prstGeom prst="rect">
                          <a:avLst/>
                        </a:prstGeom>
                        <a:noFill/>
                        <a:ln>
                          <a:noFill/>
                        </a:ln>
                        <a:effectLst/>
                      </wps:spPr>
                      <wps:txbx>
                        <w:txbxContent>
                          <w:p w14:paraId="35AF9DBF">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甲方名称：</w:t>
                            </w:r>
                          </w:p>
                          <w:p w14:paraId="55EECFBB">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陕西省肿瘤医院</w:t>
                            </w:r>
                          </w:p>
                          <w:p w14:paraId="6423827E">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rPr>
                              <w:t>地    址：</w:t>
                            </w:r>
                          </w:p>
                          <w:p w14:paraId="13D423A8">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u w:val="single"/>
                              </w:rPr>
                              <w:t>西安市雁塔区雁塔西路309号</w:t>
                            </w:r>
                          </w:p>
                          <w:p w14:paraId="05670C94">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邮    编：</w:t>
                            </w:r>
                          </w:p>
                          <w:p w14:paraId="4B26A630">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710061</w:t>
                            </w:r>
                          </w:p>
                          <w:p w14:paraId="2AB8A6D9">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电    话：</w:t>
                            </w:r>
                          </w:p>
                          <w:p w14:paraId="453997A9">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029-85276039</w:t>
                            </w:r>
                          </w:p>
                          <w:p w14:paraId="41E42351">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开户银行：</w:t>
                            </w:r>
                          </w:p>
                          <w:p w14:paraId="1961893E">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中行雁塔西路支行</w:t>
                            </w:r>
                          </w:p>
                          <w:p w14:paraId="48CD971D">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 xml:space="preserve">帐    号： </w:t>
                            </w:r>
                          </w:p>
                          <w:p w14:paraId="1C7FC180">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1032 6104 5035</w:t>
                            </w:r>
                          </w:p>
                          <w:p w14:paraId="1F307ABF">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纳税人识别号：</w:t>
                            </w:r>
                          </w:p>
                          <w:p w14:paraId="30C698F1">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u w:val="single"/>
                              </w:rPr>
                              <w:t>1261 0000 4352 035012</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pt;margin-top:5.8pt;height:291.7pt;width:193.6pt;mso-wrap-distance-bottom:0pt;mso-wrap-distance-left:9pt;mso-wrap-distance-right:9pt;mso-wrap-distance-top:0pt;z-index:251660288;mso-width-relative:page;mso-height-relative:page;" filled="f" stroked="f" coordsize="21600,21600" o:gfxdata="UEsDBAoAAAAAAIdO4kAAAAAAAAAAAAAAAAAEAAAAZHJzL1BLAwQUAAAACACHTuJADYVoHNcAAAAJ&#10;AQAADwAAAGRycy9kb3ducmV2LnhtbE2PwU7DMBBE70j8g7VI3KidKGlpiNNDK64g2oLEzY23SUS8&#10;jmK3CX/PcoLj7Kxm3pSb2fXiimPoPGlIFgoEUu1tR42G4+H54RFEiIas6T2hhm8MsKlub0pTWD/R&#10;G173sREcQqEwGtoYh0LKULfoTFj4AYm9sx+diSzHRtrRTBzuepkqtZTOdMQNrRlw22L9tb84De8v&#10;58+PTL02O5cPk5+VJLeWWt/fJeoJRMQ5/j3DLz6jQ8VMJ38hG0SvIVM8JfI9WYJgP0tXKYiThnyd&#10;K5BVKf8vqH4AUEsDBBQAAAAIAIdO4kC5IqWWHAIAACQEAAAOAAAAZHJzL2Uyb0RvYy54bWytU81u&#10;EzEQviPxDpbvZJOQkHaVTVUaFSGVH6nwAI7Xm7XY9Zixk93yAPAGnLhw57nyHIztbQjl0gMXy/aM&#10;v5nvm8/Li75t2F6h02AKPhmNOVNGQqnNtuAfP1w/O+PMeWFK0YBRBb9Tjl+snj5ZdjZXU6ihKRUy&#10;AjEu72zBa+9tnmVO1qoVbgRWGQpWgK3wdMRtVqLoCL1tsul4/CLrAEuLIJVzdLtOQT4g4mMAoaq0&#10;VGuQu1YZn1BRNcITJVdr6/gqdltVSvp3VeWUZ03BiamPKxWh/Sas2Wop8i0KW2s5tCAe08IDTq3Q&#10;hooeodbCC7ZD/Q9UqyWCg8qPJLRZIhIVIRaT8QNtbmthVeRCUjt7FN39P1j5dv8emS4LvuDMiJYG&#10;fvj+7fDj1+HnV7YI8nTW5ZR1aynP9y+hJ9NEqs7egPzkmIGrWpitukSErlaipPYm4WV28jThuACy&#10;6d5ASXXEzkME6itsg3akBiN0Gs3dcTSq90zS5XQ2P1tMKSQp9nwxns3P4/Aykd8/t+j8KwUtC5uC&#10;I80+wov9jfOhHZHfp4RqBq5108T5N+avC0pMNyoaaHgdyIT+ExPfb/pBnA2Ud0QLIZmLvhZtasAv&#10;nHVkrIK7zzuBirPmtSFpziezWXBiPMzmkRSeRjanEWEkQRXcc5a2Vz65d2dRb2uqlIZh4JLkrHQk&#10;GlpNXQ1DIPNE/oPRgztPzzHrz+de/Q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NhWgc1wAAAAkB&#10;AAAPAAAAAAAAAAEAIAAAACIAAABkcnMvZG93bnJldi54bWxQSwECFAAUAAAACACHTuJAuSKllhwC&#10;AAAkBAAADgAAAAAAAAABACAAAAAmAQAAZHJzL2Uyb0RvYy54bWxQSwUGAAAAAAYABgBZAQAAtAUA&#10;AAAA&#10;">
                <v:path/>
                <v:fill on="f" focussize="0,0"/>
                <v:stroke on="f"/>
                <v:imagedata o:title=""/>
                <o:lock v:ext="edit" aspectratio="f"/>
                <v:textbox>
                  <w:txbxContent>
                    <w:p w14:paraId="35AF9DBF">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甲方名称：</w:t>
                      </w:r>
                    </w:p>
                    <w:p w14:paraId="55EECFBB">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陕西省肿瘤医院</w:t>
                      </w:r>
                    </w:p>
                    <w:p w14:paraId="6423827E">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rPr>
                        <w:t>地    址：</w:t>
                      </w:r>
                    </w:p>
                    <w:p w14:paraId="13D423A8">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u w:val="single"/>
                        </w:rPr>
                        <w:t>西安市雁塔区雁塔西路309号</w:t>
                      </w:r>
                    </w:p>
                    <w:p w14:paraId="05670C94">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邮    编：</w:t>
                      </w:r>
                    </w:p>
                    <w:p w14:paraId="4B26A630">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710061</w:t>
                      </w:r>
                    </w:p>
                    <w:p w14:paraId="2AB8A6D9">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电    话：</w:t>
                      </w:r>
                    </w:p>
                    <w:p w14:paraId="453997A9">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029-85276039</w:t>
                      </w:r>
                    </w:p>
                    <w:p w14:paraId="41E42351">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开户银行：</w:t>
                      </w:r>
                    </w:p>
                    <w:p w14:paraId="1961893E">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中行雁塔西路支行</w:t>
                      </w:r>
                    </w:p>
                    <w:p w14:paraId="48CD971D">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 xml:space="preserve">帐    号： </w:t>
                      </w:r>
                    </w:p>
                    <w:p w14:paraId="1C7FC180">
                      <w:pPr>
                        <w:autoSpaceDE w:val="0"/>
                        <w:autoSpaceDN w:val="0"/>
                        <w:spacing w:line="400" w:lineRule="exact"/>
                        <w:rPr>
                          <w:rFonts w:hint="eastAsia" w:ascii="宋体" w:hAnsi="宋体" w:eastAsia="宋体" w:cs="宋体"/>
                          <w:b w:val="0"/>
                          <w:bCs/>
                          <w:sz w:val="24"/>
                          <w:szCs w:val="24"/>
                          <w:u w:val="single"/>
                        </w:rPr>
                      </w:pPr>
                      <w:r>
                        <w:rPr>
                          <w:rFonts w:hint="eastAsia" w:ascii="宋体" w:hAnsi="宋体" w:eastAsia="宋体" w:cs="宋体"/>
                          <w:b w:val="0"/>
                          <w:bCs/>
                          <w:sz w:val="24"/>
                          <w:szCs w:val="24"/>
                          <w:u w:val="single"/>
                        </w:rPr>
                        <w:t>1032 6104 5035</w:t>
                      </w:r>
                    </w:p>
                    <w:p w14:paraId="1F307ABF">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rPr>
                        <w:t>纳税人识别号：</w:t>
                      </w:r>
                    </w:p>
                    <w:p w14:paraId="30C698F1">
                      <w:pPr>
                        <w:autoSpaceDE w:val="0"/>
                        <w:autoSpaceDN w:val="0"/>
                        <w:spacing w:line="400" w:lineRule="exact"/>
                        <w:rPr>
                          <w:rFonts w:hint="eastAsia" w:ascii="宋体" w:hAnsi="宋体" w:eastAsia="宋体" w:cs="宋体"/>
                          <w:b w:val="0"/>
                          <w:bCs/>
                          <w:sz w:val="24"/>
                          <w:szCs w:val="24"/>
                        </w:rPr>
                      </w:pPr>
                      <w:r>
                        <w:rPr>
                          <w:rFonts w:hint="eastAsia" w:ascii="宋体" w:hAnsi="宋体" w:eastAsia="宋体" w:cs="宋体"/>
                          <w:b w:val="0"/>
                          <w:bCs/>
                          <w:sz w:val="24"/>
                          <w:szCs w:val="24"/>
                          <w:u w:val="single"/>
                        </w:rPr>
                        <w:t>1261 0000 4352 035012</w:t>
                      </w:r>
                    </w:p>
                  </w:txbxContent>
                </v:textbox>
                <w10:wrap type="square"/>
              </v:shape>
            </w:pict>
          </mc:Fallback>
        </mc:AlternateContent>
      </w:r>
      <w:r>
        <w:rPr>
          <w:rFonts w:hint="eastAsia" w:ascii="宋体" w:hAnsi="宋体" w:eastAsia="宋体" w:cs="宋体"/>
          <w:sz w:val="24"/>
          <w:szCs w:val="24"/>
        </w:rPr>
        <mc:AlternateContent>
          <mc:Choice Requires="wps">
            <w:drawing>
              <wp:inline distT="0" distB="0" distL="114300" distR="114300">
                <wp:extent cx="2790825" cy="3655695"/>
                <wp:effectExtent l="0" t="0" r="9525" b="1905"/>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790825" cy="3655695"/>
                        </a:xfrm>
                        <a:prstGeom prst="rect">
                          <a:avLst/>
                        </a:prstGeom>
                        <a:solidFill>
                          <a:srgbClr val="FFFFFF"/>
                        </a:solidFill>
                        <a:ln>
                          <a:noFill/>
                        </a:ln>
                        <a:effectLst/>
                      </wps:spPr>
                      <wps:txbx>
                        <w:txbxContent>
                          <w:p w14:paraId="31989A5F">
                            <w:pPr>
                              <w:spacing w:line="400" w:lineRule="exact"/>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乙方名称：</w:t>
                            </w:r>
                          </w:p>
                          <w:p w14:paraId="1101256E">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112FBBE3">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地    址： </w:t>
                            </w:r>
                          </w:p>
                          <w:p w14:paraId="23BF8F21">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0F2127D4">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    编：</w:t>
                            </w:r>
                          </w:p>
                          <w:p w14:paraId="23CC4776">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6266FD6E">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    话：</w:t>
                            </w:r>
                          </w:p>
                          <w:p w14:paraId="369778B9">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04A00330">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p>
                          <w:p w14:paraId="3B231ABB">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4A085E49">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帐    号： </w:t>
                            </w:r>
                          </w:p>
                          <w:p w14:paraId="16185D4D">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06BE32DB">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纳税人识别号：</w:t>
                            </w:r>
                          </w:p>
                          <w:p w14:paraId="5DB5186C">
                            <w:pPr>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txbxContent>
                      </wps:txbx>
                      <wps:bodyPr rot="0" vert="horz" wrap="square" lIns="91440" tIns="45720" rIns="91440" bIns="45720" anchor="t" anchorCtr="0" upright="1">
                        <a:noAutofit/>
                      </wps:bodyPr>
                    </wps:wsp>
                  </a:graphicData>
                </a:graphic>
              </wp:inline>
            </w:drawing>
          </mc:Choice>
          <mc:Fallback>
            <w:pict>
              <v:shape id="_x0000_s1026" o:spid="_x0000_s1026" o:spt="202" type="#_x0000_t202" style="height:287.85pt;width:219.75pt;" fillcolor="#FFFFFF" filled="t" stroked="f" coordsize="21600,21600" o:gfxdata="UEsDBAoAAAAAAIdO4kAAAAAAAAAAAAAAAAAEAAAAZHJzL1BLAwQUAAAACACHTuJAs8Tsp9UAAAAF&#10;AQAADwAAAGRycy9kb3ducmV2LnhtbE2PwU7DMBBE70j8g7VIXBB1Ck1D0ziVQAJxbekHbOJtEjVe&#10;R7HbtH/PwgUuK41mNPO22Fxcr840hs6zgfksAUVce9txY2D/9f74AipEZIu9ZzJwpQCb8vamwNz6&#10;ibd03sVGSQmHHA20MQ651qFuyWGY+YFYvIMfHUaRY6PtiJOUu14/JclSO+xYFloc6K2l+rg7OQOH&#10;z+khXU3VR9xn28XyFbus8ldj7u/myRpUpEv8C8MPvqBDKUyVP7ENqjcgj8TfK97ieZWCqgykWZqB&#10;Lgv9n778BlBLAwQUAAAACACHTuJAAEFoGjMCAABNBAAADgAAAGRycy9lMm9Eb2MueG1srVRLbtsw&#10;EN0X6B0I7mvZrp3YguUgTeCiQPoB0h6ApiiJqMRhh7Sl9ADNDbrqpvuey+fokFJcN91kUS0IDmf4&#10;Zt6boVYXXVOzvUKnwWR8MhpzpoyEXJsy458+bl4sOHNemFzUYFTG75TjF+vnz1atTdUUKqhzhYxA&#10;jEtbm/HKe5smiZOVaoQbgVWGnAVgIzyZWCY5ipbQmzqZjsdnSQuYWwSpnKPT697JB0R8CiAUhZbq&#10;GuSuUcb3qKhq4YmSq7R1fB2rLQol/fuicMqzOuPE1MeVktB+G9ZkvRJpicJWWg4liKeU8IhTI7Sh&#10;pEeoa+EF26H+B6rREsFB4UcSmqQnEhUhFpPxI21uK2FV5EJSO3sU3f0/WPlu/wGZzjNObTeioYYf&#10;vt8ffvw6/PzGFkGe1rqUom4txfnuFXQ0NJGqszcgPztm4KoSplSXiNBWSuRU3iTcTE6u9jgugGzb&#10;t5BTHrHzEIG6ApugHanBCJ1ac3dsjeo8k3Q4PV+OF9M5Z5J8L8/m87PlPOYQ6cN1i86/VtCwsMk4&#10;Uu8jvNjfOB/KEelDSMjmoNb5Rtd1NLDcXtXI9oLmZBO/Af2vsNqEYAPhWo/Yn6g4aUOawDoQ7Sn7&#10;btsNKm4hvyP+CP0U0hukTQX4lbOWJjDj7stOoOKsfmNIw+VkNgsjG43Z/HxKBp56tqceYSRBZdxz&#10;1m+vfD/mO4u6rChT3zUDl6R7oaMiodS+qqFbNGVRqOFFhDE+tWPUn7/A+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xOyn1QAAAAUBAAAPAAAAAAAAAAEAIAAAACIAAABkcnMvZG93bnJldi54bWxQ&#10;SwECFAAUAAAACACHTuJAAEFoGjMCAABNBAAADgAAAAAAAAABACAAAAAkAQAAZHJzL2Uyb0RvYy54&#10;bWxQSwUGAAAAAAYABgBZAQAAyQUAAAAA&#10;">
                <v:path/>
                <v:fill on="t" focussize="0,0"/>
                <v:stroke on="f"/>
                <v:imagedata o:title=""/>
                <o:lock v:ext="edit" aspectratio="f"/>
                <v:textbox>
                  <w:txbxContent>
                    <w:p w14:paraId="31989A5F">
                      <w:pPr>
                        <w:spacing w:line="400" w:lineRule="exact"/>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乙方名称：</w:t>
                      </w:r>
                    </w:p>
                    <w:p w14:paraId="1101256E">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112FBBE3">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地    址： </w:t>
                      </w:r>
                    </w:p>
                    <w:p w14:paraId="23BF8F21">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0F2127D4">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    编：</w:t>
                      </w:r>
                    </w:p>
                    <w:p w14:paraId="23CC4776">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6266FD6E">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    话：</w:t>
                      </w:r>
                    </w:p>
                    <w:p w14:paraId="369778B9">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04A00330">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p>
                    <w:p w14:paraId="3B231ABB">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4A085E49">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帐    号： </w:t>
                      </w:r>
                    </w:p>
                    <w:p w14:paraId="16185D4D">
                      <w:pPr>
                        <w:autoSpaceDE w:val="0"/>
                        <w:autoSpaceDN w:val="0"/>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p w14:paraId="06BE32DB">
                      <w:pPr>
                        <w:autoSpaceDE w:val="0"/>
                        <w:autoSpaceDN w:val="0"/>
                        <w:spacing w:line="400" w:lineRule="exac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纳税人识别号：</w:t>
                      </w:r>
                    </w:p>
                    <w:p w14:paraId="5DB5186C">
                      <w:pPr>
                        <w:spacing w:line="400" w:lineRule="exact"/>
                        <w:rPr>
                          <w:rFonts w:hint="eastAsia" w:ascii="宋体" w:hAnsi="宋体" w:eastAsia="宋体" w:cs="宋体"/>
                          <w:b w:val="0"/>
                          <w:bCs/>
                          <w:sz w:val="24"/>
                          <w:szCs w:val="24"/>
                          <w:highlight w:val="none"/>
                          <w:u w:val="single"/>
                          <w:lang w:eastAsia="zh-CN"/>
                        </w:rPr>
                      </w:pPr>
                      <w:r>
                        <w:rPr>
                          <w:rFonts w:hint="eastAsia" w:ascii="宋体" w:hAnsi="宋体" w:eastAsia="宋体" w:cs="宋体"/>
                          <w:b w:val="0"/>
                          <w:bCs/>
                          <w:sz w:val="24"/>
                          <w:szCs w:val="24"/>
                          <w:highlight w:val="none"/>
                          <w:u w:val="single"/>
                          <w:lang w:eastAsia="zh-CN"/>
                        </w:rPr>
                        <w:t xml:space="preserve">                                   </w:t>
                      </w:r>
                    </w:p>
                  </w:txbxContent>
                </v:textbox>
                <w10:wrap type="none"/>
                <w10:anchorlock/>
              </v:shape>
            </w:pict>
          </mc:Fallback>
        </mc:AlternateContent>
      </w:r>
    </w:p>
    <w:p w14:paraId="1AA1E099">
      <w:pPr>
        <w:keepNext w:val="0"/>
        <w:keepLines w:val="0"/>
        <w:pageBreakBefore w:val="0"/>
        <w:widowControl/>
        <w:kinsoku w:val="0"/>
        <w:wordWrap/>
        <w:overflowPunct/>
        <w:topLinePunct w:val="0"/>
        <w:autoSpaceDE w:val="0"/>
        <w:autoSpaceDN w:val="0"/>
        <w:bidi w:val="0"/>
        <w:adjustRightInd w:val="0"/>
        <w:snapToGrid w:val="0"/>
        <w:spacing w:line="360" w:lineRule="auto"/>
        <w:ind w:firstLine="40" w:firstLineChars="200"/>
        <w:textAlignment w:val="baseline"/>
        <w:rPr>
          <w:rFonts w:hint="eastAsia" w:ascii="宋体" w:hAnsi="宋体" w:eastAsia="宋体" w:cs="宋体"/>
          <w:sz w:val="2"/>
          <w:szCs w:val="2"/>
        </w:rPr>
      </w:pPr>
    </w:p>
    <w:p w14:paraId="5405184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（三）合同总价的所有支付由甲方以银行转账方式付至乙方。</w:t>
      </w:r>
    </w:p>
    <w:p w14:paraId="2C1A792A">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五、验收交付标准和方法</w:t>
      </w:r>
    </w:p>
    <w:p w14:paraId="0FFAEAB2">
      <w:pPr>
        <w:pStyle w:val="5"/>
        <w:spacing w:before="157" w:line="272" w:lineRule="auto"/>
        <w:ind w:left="105" w:right="219" w:firstLine="397"/>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1.乙方须接受甲方每月的考核。甲方每月根据合同内容要求，对乙方产品质量、配送 服务、售后服务进行考核（见《服务质量考核表》）。考核结果与服务费用挂钩。</w:t>
      </w:r>
    </w:p>
    <w:p w14:paraId="0C5C8880">
      <w:pPr>
        <w:pStyle w:val="5"/>
        <w:spacing w:before="157" w:line="272" w:lineRule="auto"/>
        <w:ind w:left="103" w:right="183" w:firstLine="392"/>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2.乙方须每月向50%服务科室发放《服务质量考核表》，按月交替发放，并将考核结果汇总报甲方，《服务质量考核表》原始调查表交甲方存档。服务质量考核表》</w:t>
      </w:r>
    </w:p>
    <w:p w14:paraId="2AC90A6A">
      <w:pPr>
        <w:pStyle w:val="5"/>
        <w:spacing w:before="157" w:line="272" w:lineRule="auto"/>
        <w:ind w:left="103" w:right="183" w:firstLine="392"/>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服务质量考核表</w:t>
      </w:r>
    </w:p>
    <w:tbl>
      <w:tblPr>
        <w:tblStyle w:val="6"/>
        <w:tblW w:w="8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8"/>
        <w:gridCol w:w="1575"/>
        <w:gridCol w:w="3437"/>
        <w:gridCol w:w="1145"/>
        <w:gridCol w:w="1193"/>
      </w:tblGrid>
      <w:tr w14:paraId="65C0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2403" w:type="dxa"/>
            <w:gridSpan w:val="2"/>
            <w:vMerge w:val="restart"/>
            <w:noWrap w:val="0"/>
            <w:vAlign w:val="center"/>
          </w:tcPr>
          <w:p w14:paraId="3987756E">
            <w:pPr>
              <w:pStyle w:val="5"/>
              <w:keepNext w:val="0"/>
              <w:keepLines w:val="0"/>
              <w:pageBreakBefore w:val="0"/>
              <w:wordWrap/>
              <w:overflowPunct/>
              <w:topLinePunct w:val="0"/>
              <w:bidi w:val="0"/>
              <w:adjustRightInd w:val="0"/>
              <w:snapToGrid w:val="0"/>
              <w:spacing w:line="360" w:lineRule="auto"/>
              <w:ind w:left="0" w:right="0"/>
              <w:jc w:val="center"/>
              <w:rPr>
                <w:rFonts w:hint="default"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项目</w:t>
            </w:r>
          </w:p>
        </w:tc>
        <w:tc>
          <w:tcPr>
            <w:tcW w:w="3437" w:type="dxa"/>
            <w:vMerge w:val="restart"/>
            <w:noWrap w:val="0"/>
            <w:vAlign w:val="center"/>
          </w:tcPr>
          <w:p w14:paraId="5DA29A2F">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标准</w:t>
            </w:r>
          </w:p>
        </w:tc>
        <w:tc>
          <w:tcPr>
            <w:tcW w:w="2338" w:type="dxa"/>
            <w:gridSpan w:val="2"/>
            <w:noWrap w:val="0"/>
            <w:vAlign w:val="center"/>
          </w:tcPr>
          <w:p w14:paraId="55444488">
            <w:pPr>
              <w:pStyle w:val="5"/>
              <w:keepNext w:val="0"/>
              <w:keepLines w:val="0"/>
              <w:pageBreakBefore w:val="0"/>
              <w:wordWrap/>
              <w:overflowPunct/>
              <w:topLinePunct w:val="0"/>
              <w:bidi w:val="0"/>
              <w:adjustRightInd w:val="0"/>
              <w:snapToGrid w:val="0"/>
              <w:spacing w:line="360" w:lineRule="auto"/>
              <w:ind w:left="0" w:right="0"/>
              <w:jc w:val="center"/>
              <w:rPr>
                <w:rFonts w:hint="default"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评价</w:t>
            </w:r>
          </w:p>
        </w:tc>
      </w:tr>
      <w:tr w14:paraId="4AF0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7" w:hRule="atLeast"/>
          <w:jc w:val="center"/>
        </w:trPr>
        <w:tc>
          <w:tcPr>
            <w:tcW w:w="2403" w:type="dxa"/>
            <w:gridSpan w:val="2"/>
            <w:vMerge w:val="continue"/>
            <w:noWrap w:val="0"/>
            <w:vAlign w:val="center"/>
          </w:tcPr>
          <w:p w14:paraId="6DF4F8A5">
            <w:pPr>
              <w:pStyle w:val="5"/>
              <w:keepNext w:val="0"/>
              <w:keepLines w:val="0"/>
              <w:pageBreakBefore w:val="0"/>
              <w:wordWrap/>
              <w:overflowPunct/>
              <w:topLinePunct w:val="0"/>
              <w:bidi w:val="0"/>
              <w:adjustRightInd w:val="0"/>
              <w:snapToGrid w:val="0"/>
              <w:spacing w:line="360" w:lineRule="auto"/>
              <w:ind w:left="0" w:right="0"/>
              <w:jc w:val="center"/>
              <w:rPr>
                <w:rFonts w:hint="default" w:ascii="宋体" w:hAnsi="宋体" w:eastAsia="宋体" w:cs="宋体"/>
                <w:snapToGrid/>
                <w:color w:val="auto"/>
                <w:kern w:val="2"/>
                <w:sz w:val="24"/>
                <w:szCs w:val="24"/>
                <w:lang w:val="en-US" w:eastAsia="zh-CN" w:bidi="ar-SA"/>
              </w:rPr>
            </w:pPr>
          </w:p>
        </w:tc>
        <w:tc>
          <w:tcPr>
            <w:tcW w:w="3437" w:type="dxa"/>
            <w:vMerge w:val="continue"/>
            <w:noWrap w:val="0"/>
            <w:vAlign w:val="center"/>
          </w:tcPr>
          <w:p w14:paraId="48BC80E3">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c>
          <w:tcPr>
            <w:tcW w:w="1145" w:type="dxa"/>
            <w:noWrap w:val="0"/>
            <w:vAlign w:val="center"/>
          </w:tcPr>
          <w:p w14:paraId="0EF42C27">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标准分值</w:t>
            </w:r>
          </w:p>
        </w:tc>
        <w:tc>
          <w:tcPr>
            <w:tcW w:w="1193" w:type="dxa"/>
            <w:noWrap w:val="0"/>
            <w:vAlign w:val="center"/>
          </w:tcPr>
          <w:p w14:paraId="4A529A9D">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实际得分</w:t>
            </w:r>
          </w:p>
        </w:tc>
      </w:tr>
      <w:tr w14:paraId="7279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2" w:hRule="atLeast"/>
          <w:jc w:val="center"/>
        </w:trPr>
        <w:tc>
          <w:tcPr>
            <w:tcW w:w="828" w:type="dxa"/>
            <w:vMerge w:val="restart"/>
            <w:noWrap w:val="0"/>
            <w:vAlign w:val="center"/>
          </w:tcPr>
          <w:p w14:paraId="42CBC5F2">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p w14:paraId="5105565E">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p w14:paraId="38AF1630">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p w14:paraId="1A2079FF">
            <w:pPr>
              <w:pStyle w:val="5"/>
              <w:keepNext w:val="0"/>
              <w:keepLines w:val="0"/>
              <w:pageBreakBefore w:val="0"/>
              <w:wordWrap/>
              <w:overflowPunct/>
              <w:topLinePunct w:val="0"/>
              <w:bidi w:val="0"/>
              <w:adjustRightInd w:val="0"/>
              <w:snapToGrid w:val="0"/>
              <w:spacing w:line="360" w:lineRule="auto"/>
              <w:ind w:left="0" w:right="0" w:hanging="3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产品</w:t>
            </w:r>
          </w:p>
          <w:p w14:paraId="062C9B2A">
            <w:pPr>
              <w:pStyle w:val="5"/>
              <w:keepNext w:val="0"/>
              <w:keepLines w:val="0"/>
              <w:pageBreakBefore w:val="0"/>
              <w:wordWrap/>
              <w:overflowPunct/>
              <w:topLinePunct w:val="0"/>
              <w:bidi w:val="0"/>
              <w:adjustRightInd w:val="0"/>
              <w:snapToGrid w:val="0"/>
              <w:spacing w:line="360" w:lineRule="auto"/>
              <w:ind w:left="0" w:right="0" w:hanging="3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质量</w:t>
            </w:r>
          </w:p>
        </w:tc>
        <w:tc>
          <w:tcPr>
            <w:tcW w:w="1575" w:type="dxa"/>
            <w:noWrap w:val="0"/>
            <w:vAlign w:val="center"/>
          </w:tcPr>
          <w:p w14:paraId="46DAB775">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织物洁净度</w:t>
            </w:r>
          </w:p>
        </w:tc>
        <w:tc>
          <w:tcPr>
            <w:tcW w:w="3437" w:type="dxa"/>
            <w:noWrap w:val="0"/>
            <w:vAlign w:val="center"/>
          </w:tcPr>
          <w:p w14:paraId="56AE62EB">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清洁、无污渍（白色床被白度 值月度监测≥87）</w:t>
            </w:r>
          </w:p>
        </w:tc>
        <w:tc>
          <w:tcPr>
            <w:tcW w:w="1145" w:type="dxa"/>
            <w:noWrap w:val="0"/>
            <w:vAlign w:val="center"/>
          </w:tcPr>
          <w:p w14:paraId="1CAFC40E">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40</w:t>
            </w:r>
          </w:p>
        </w:tc>
        <w:tc>
          <w:tcPr>
            <w:tcW w:w="1193" w:type="dxa"/>
            <w:noWrap w:val="0"/>
            <w:vAlign w:val="center"/>
          </w:tcPr>
          <w:p w14:paraId="040EA02A">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720F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28" w:type="dxa"/>
            <w:vMerge w:val="continue"/>
            <w:noWrap w:val="0"/>
            <w:vAlign w:val="center"/>
          </w:tcPr>
          <w:p w14:paraId="4EEA0B85">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c>
          <w:tcPr>
            <w:tcW w:w="1575" w:type="dxa"/>
            <w:noWrap w:val="0"/>
            <w:vAlign w:val="center"/>
          </w:tcPr>
          <w:p w14:paraId="4DD8EB36">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织物完整度</w:t>
            </w:r>
          </w:p>
        </w:tc>
        <w:tc>
          <w:tcPr>
            <w:tcW w:w="3437" w:type="dxa"/>
            <w:noWrap w:val="0"/>
            <w:vAlign w:val="center"/>
          </w:tcPr>
          <w:p w14:paraId="17E117ED">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无破损，纽扣、系带齐全</w:t>
            </w:r>
          </w:p>
        </w:tc>
        <w:tc>
          <w:tcPr>
            <w:tcW w:w="1145" w:type="dxa"/>
            <w:noWrap w:val="0"/>
            <w:vAlign w:val="center"/>
          </w:tcPr>
          <w:p w14:paraId="162329D2">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20</w:t>
            </w:r>
          </w:p>
        </w:tc>
        <w:tc>
          <w:tcPr>
            <w:tcW w:w="1193" w:type="dxa"/>
            <w:noWrap w:val="0"/>
            <w:vAlign w:val="center"/>
          </w:tcPr>
          <w:p w14:paraId="7E7F4952">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65B6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28" w:type="dxa"/>
            <w:vMerge w:val="continue"/>
            <w:noWrap w:val="0"/>
            <w:vAlign w:val="center"/>
          </w:tcPr>
          <w:p w14:paraId="6383C755">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c>
          <w:tcPr>
            <w:tcW w:w="1575" w:type="dxa"/>
            <w:noWrap w:val="0"/>
            <w:vAlign w:val="center"/>
          </w:tcPr>
          <w:p w14:paraId="17D33DDC">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织物干燥度</w:t>
            </w:r>
          </w:p>
        </w:tc>
        <w:tc>
          <w:tcPr>
            <w:tcW w:w="3437" w:type="dxa"/>
            <w:noWrap w:val="0"/>
            <w:vAlign w:val="center"/>
          </w:tcPr>
          <w:p w14:paraId="03E83A58">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无潮湿</w:t>
            </w:r>
          </w:p>
        </w:tc>
        <w:tc>
          <w:tcPr>
            <w:tcW w:w="1145" w:type="dxa"/>
            <w:noWrap w:val="0"/>
            <w:vAlign w:val="center"/>
          </w:tcPr>
          <w:p w14:paraId="03BFB659">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3</w:t>
            </w:r>
          </w:p>
        </w:tc>
        <w:tc>
          <w:tcPr>
            <w:tcW w:w="1193" w:type="dxa"/>
            <w:noWrap w:val="0"/>
            <w:vAlign w:val="center"/>
          </w:tcPr>
          <w:p w14:paraId="0D6AA3D6">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6F78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1" w:hRule="atLeast"/>
          <w:jc w:val="center"/>
        </w:trPr>
        <w:tc>
          <w:tcPr>
            <w:tcW w:w="828" w:type="dxa"/>
            <w:vMerge w:val="continue"/>
            <w:noWrap w:val="0"/>
            <w:vAlign w:val="center"/>
          </w:tcPr>
          <w:p w14:paraId="6EAAFD32">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c>
          <w:tcPr>
            <w:tcW w:w="1575" w:type="dxa"/>
            <w:noWrap w:val="0"/>
            <w:vAlign w:val="center"/>
          </w:tcPr>
          <w:p w14:paraId="0683F683">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织物平整度</w:t>
            </w:r>
          </w:p>
        </w:tc>
        <w:tc>
          <w:tcPr>
            <w:tcW w:w="3437" w:type="dxa"/>
            <w:noWrap w:val="0"/>
            <w:vAlign w:val="center"/>
          </w:tcPr>
          <w:p w14:paraId="29ED1990">
            <w:pPr>
              <w:pStyle w:val="5"/>
              <w:keepNext w:val="0"/>
              <w:keepLines w:val="0"/>
              <w:pageBreakBefore w:val="0"/>
              <w:wordWrap/>
              <w:overflowPunct/>
              <w:topLinePunct w:val="0"/>
              <w:bidi w:val="0"/>
              <w:adjustRightInd w:val="0"/>
              <w:snapToGrid w:val="0"/>
              <w:spacing w:line="360" w:lineRule="auto"/>
              <w:ind w:left="0" w:right="0" w:firstLine="3"/>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织物平整无明显褶皱、折叠整 齐</w:t>
            </w:r>
          </w:p>
        </w:tc>
        <w:tc>
          <w:tcPr>
            <w:tcW w:w="1145" w:type="dxa"/>
            <w:noWrap w:val="0"/>
            <w:vAlign w:val="center"/>
          </w:tcPr>
          <w:p w14:paraId="1CA4C030">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5</w:t>
            </w:r>
          </w:p>
        </w:tc>
        <w:tc>
          <w:tcPr>
            <w:tcW w:w="1193" w:type="dxa"/>
            <w:noWrap w:val="0"/>
            <w:vAlign w:val="center"/>
          </w:tcPr>
          <w:p w14:paraId="2E63DFAA">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3E86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28" w:type="dxa"/>
            <w:vMerge w:val="restart"/>
            <w:noWrap w:val="0"/>
            <w:vAlign w:val="center"/>
          </w:tcPr>
          <w:p w14:paraId="56FA5398">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p w14:paraId="0BF3CE05">
            <w:pPr>
              <w:pStyle w:val="5"/>
              <w:keepNext w:val="0"/>
              <w:keepLines w:val="0"/>
              <w:pageBreakBefore w:val="0"/>
              <w:wordWrap/>
              <w:overflowPunct/>
              <w:topLinePunct w:val="0"/>
              <w:bidi w:val="0"/>
              <w:adjustRightInd w:val="0"/>
              <w:snapToGrid w:val="0"/>
              <w:spacing w:line="360" w:lineRule="auto"/>
              <w:ind w:left="0" w:right="0" w:hanging="3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配送</w:t>
            </w:r>
          </w:p>
          <w:p w14:paraId="2B25FE14">
            <w:pPr>
              <w:pStyle w:val="5"/>
              <w:keepNext w:val="0"/>
              <w:keepLines w:val="0"/>
              <w:pageBreakBefore w:val="0"/>
              <w:wordWrap/>
              <w:overflowPunct/>
              <w:topLinePunct w:val="0"/>
              <w:bidi w:val="0"/>
              <w:adjustRightInd w:val="0"/>
              <w:snapToGrid w:val="0"/>
              <w:spacing w:line="360" w:lineRule="auto"/>
              <w:ind w:left="0" w:right="0" w:hanging="3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服务</w:t>
            </w:r>
          </w:p>
        </w:tc>
        <w:tc>
          <w:tcPr>
            <w:tcW w:w="1575" w:type="dxa"/>
            <w:noWrap w:val="0"/>
            <w:vAlign w:val="center"/>
          </w:tcPr>
          <w:p w14:paraId="2A20579E">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准时性</w:t>
            </w:r>
          </w:p>
        </w:tc>
        <w:tc>
          <w:tcPr>
            <w:tcW w:w="3437" w:type="dxa"/>
            <w:noWrap w:val="0"/>
            <w:vAlign w:val="center"/>
          </w:tcPr>
          <w:p w14:paraId="21E9EA32">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按时配送</w:t>
            </w:r>
          </w:p>
        </w:tc>
        <w:tc>
          <w:tcPr>
            <w:tcW w:w="1145" w:type="dxa"/>
            <w:noWrap w:val="0"/>
            <w:vAlign w:val="center"/>
          </w:tcPr>
          <w:p w14:paraId="6DA39E91">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5</w:t>
            </w:r>
          </w:p>
        </w:tc>
        <w:tc>
          <w:tcPr>
            <w:tcW w:w="1193" w:type="dxa"/>
            <w:noWrap w:val="0"/>
            <w:vAlign w:val="center"/>
          </w:tcPr>
          <w:p w14:paraId="6BA0FF6B">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1895A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28" w:type="dxa"/>
            <w:vMerge w:val="continue"/>
            <w:noWrap w:val="0"/>
            <w:vAlign w:val="center"/>
          </w:tcPr>
          <w:p w14:paraId="4B0A4E0A">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c>
          <w:tcPr>
            <w:tcW w:w="1575" w:type="dxa"/>
            <w:noWrap w:val="0"/>
            <w:vAlign w:val="center"/>
          </w:tcPr>
          <w:p w14:paraId="7C9B75BE">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服务态度</w:t>
            </w:r>
          </w:p>
        </w:tc>
        <w:tc>
          <w:tcPr>
            <w:tcW w:w="3437" w:type="dxa"/>
            <w:noWrap w:val="0"/>
            <w:vAlign w:val="center"/>
          </w:tcPr>
          <w:p w14:paraId="003676BD">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态度热情，服务周到</w:t>
            </w:r>
          </w:p>
        </w:tc>
        <w:tc>
          <w:tcPr>
            <w:tcW w:w="1145" w:type="dxa"/>
            <w:noWrap w:val="0"/>
            <w:vAlign w:val="center"/>
          </w:tcPr>
          <w:p w14:paraId="215134B0">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4</w:t>
            </w:r>
          </w:p>
        </w:tc>
        <w:tc>
          <w:tcPr>
            <w:tcW w:w="1193" w:type="dxa"/>
            <w:noWrap w:val="0"/>
            <w:vAlign w:val="center"/>
          </w:tcPr>
          <w:p w14:paraId="73172713">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6F70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28" w:type="dxa"/>
            <w:vMerge w:val="continue"/>
            <w:noWrap w:val="0"/>
            <w:vAlign w:val="center"/>
          </w:tcPr>
          <w:p w14:paraId="71D7C3B6">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c>
          <w:tcPr>
            <w:tcW w:w="1575" w:type="dxa"/>
            <w:noWrap w:val="0"/>
            <w:vAlign w:val="center"/>
          </w:tcPr>
          <w:p w14:paraId="1FB47E80">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行为规范</w:t>
            </w:r>
          </w:p>
        </w:tc>
        <w:tc>
          <w:tcPr>
            <w:tcW w:w="3437" w:type="dxa"/>
            <w:noWrap w:val="0"/>
            <w:vAlign w:val="center"/>
          </w:tcPr>
          <w:p w14:paraId="26CF5316">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举止得体，按要求防护</w:t>
            </w:r>
          </w:p>
        </w:tc>
        <w:tc>
          <w:tcPr>
            <w:tcW w:w="1145" w:type="dxa"/>
            <w:noWrap w:val="0"/>
            <w:vAlign w:val="center"/>
          </w:tcPr>
          <w:p w14:paraId="3B9DA31D">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3</w:t>
            </w:r>
          </w:p>
        </w:tc>
        <w:tc>
          <w:tcPr>
            <w:tcW w:w="1193" w:type="dxa"/>
            <w:noWrap w:val="0"/>
            <w:vAlign w:val="center"/>
          </w:tcPr>
          <w:p w14:paraId="09BE3BA1">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6CC7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28" w:type="dxa"/>
            <w:vMerge w:val="continue"/>
            <w:noWrap w:val="0"/>
            <w:vAlign w:val="center"/>
          </w:tcPr>
          <w:p w14:paraId="452E52A5">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c>
          <w:tcPr>
            <w:tcW w:w="1575" w:type="dxa"/>
            <w:noWrap w:val="0"/>
            <w:vAlign w:val="center"/>
          </w:tcPr>
          <w:p w14:paraId="11085E3F">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规范交接</w:t>
            </w:r>
          </w:p>
        </w:tc>
        <w:tc>
          <w:tcPr>
            <w:tcW w:w="3437" w:type="dxa"/>
            <w:noWrap w:val="0"/>
            <w:vAlign w:val="center"/>
          </w:tcPr>
          <w:p w14:paraId="1F685A1B">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当面交接，交接单双签字</w:t>
            </w:r>
          </w:p>
        </w:tc>
        <w:tc>
          <w:tcPr>
            <w:tcW w:w="1145" w:type="dxa"/>
            <w:noWrap w:val="0"/>
            <w:vAlign w:val="center"/>
          </w:tcPr>
          <w:p w14:paraId="4956B6CA">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6</w:t>
            </w:r>
          </w:p>
        </w:tc>
        <w:tc>
          <w:tcPr>
            <w:tcW w:w="1193" w:type="dxa"/>
            <w:noWrap w:val="0"/>
            <w:vAlign w:val="center"/>
          </w:tcPr>
          <w:p w14:paraId="247DEBAB">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06A0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28" w:type="dxa"/>
            <w:vMerge w:val="restart"/>
            <w:noWrap w:val="0"/>
            <w:vAlign w:val="center"/>
          </w:tcPr>
          <w:p w14:paraId="4673CC63">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p w14:paraId="70EB3661">
            <w:pPr>
              <w:pStyle w:val="5"/>
              <w:keepNext w:val="0"/>
              <w:keepLines w:val="0"/>
              <w:pageBreakBefore w:val="0"/>
              <w:wordWrap/>
              <w:overflowPunct/>
              <w:topLinePunct w:val="0"/>
              <w:bidi w:val="0"/>
              <w:adjustRightInd w:val="0"/>
              <w:snapToGrid w:val="0"/>
              <w:spacing w:line="360" w:lineRule="auto"/>
              <w:ind w:left="0" w:right="0" w:hanging="3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售后</w:t>
            </w:r>
          </w:p>
          <w:p w14:paraId="4CDF1B31">
            <w:pPr>
              <w:pStyle w:val="5"/>
              <w:keepNext w:val="0"/>
              <w:keepLines w:val="0"/>
              <w:pageBreakBefore w:val="0"/>
              <w:wordWrap/>
              <w:overflowPunct/>
              <w:topLinePunct w:val="0"/>
              <w:bidi w:val="0"/>
              <w:adjustRightInd w:val="0"/>
              <w:snapToGrid w:val="0"/>
              <w:spacing w:line="360" w:lineRule="auto"/>
              <w:ind w:left="0" w:right="0" w:hanging="3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服务</w:t>
            </w:r>
          </w:p>
        </w:tc>
        <w:tc>
          <w:tcPr>
            <w:tcW w:w="1575" w:type="dxa"/>
            <w:noWrap w:val="0"/>
            <w:vAlign w:val="center"/>
          </w:tcPr>
          <w:p w14:paraId="2424BC1E">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破损修补</w:t>
            </w:r>
          </w:p>
        </w:tc>
        <w:tc>
          <w:tcPr>
            <w:tcW w:w="3437" w:type="dxa"/>
            <w:noWrap w:val="0"/>
            <w:vAlign w:val="center"/>
          </w:tcPr>
          <w:p w14:paraId="426B8678">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缝补织物三日内送回</w:t>
            </w:r>
          </w:p>
        </w:tc>
        <w:tc>
          <w:tcPr>
            <w:tcW w:w="1145" w:type="dxa"/>
            <w:noWrap w:val="0"/>
            <w:vAlign w:val="center"/>
          </w:tcPr>
          <w:p w14:paraId="05332304">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5</w:t>
            </w:r>
          </w:p>
        </w:tc>
        <w:tc>
          <w:tcPr>
            <w:tcW w:w="1193" w:type="dxa"/>
            <w:noWrap w:val="0"/>
            <w:vAlign w:val="center"/>
          </w:tcPr>
          <w:p w14:paraId="07A542D9">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0A48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5" w:hRule="atLeast"/>
          <w:jc w:val="center"/>
        </w:trPr>
        <w:tc>
          <w:tcPr>
            <w:tcW w:w="828" w:type="dxa"/>
            <w:vMerge w:val="continue"/>
            <w:noWrap w:val="0"/>
            <w:vAlign w:val="center"/>
          </w:tcPr>
          <w:p w14:paraId="1D217BED">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c>
          <w:tcPr>
            <w:tcW w:w="1575" w:type="dxa"/>
            <w:noWrap w:val="0"/>
            <w:vAlign w:val="center"/>
          </w:tcPr>
          <w:p w14:paraId="6A64580A">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p w14:paraId="7CA0665D">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意见反馈</w:t>
            </w:r>
          </w:p>
        </w:tc>
        <w:tc>
          <w:tcPr>
            <w:tcW w:w="3437" w:type="dxa"/>
            <w:noWrap w:val="0"/>
            <w:vAlign w:val="center"/>
          </w:tcPr>
          <w:p w14:paraId="407C7BF0">
            <w:pPr>
              <w:pStyle w:val="5"/>
              <w:keepNext w:val="0"/>
              <w:keepLines w:val="0"/>
              <w:pageBreakBefore w:val="0"/>
              <w:wordWrap/>
              <w:overflowPunct/>
              <w:topLinePunct w:val="0"/>
              <w:bidi w:val="0"/>
              <w:adjustRightInd w:val="0"/>
              <w:snapToGrid w:val="0"/>
              <w:spacing w:line="360" w:lineRule="auto"/>
              <w:ind w:left="0" w:right="0" w:hanging="7"/>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接到科室问题反馈后，30分钟 内回复处理方法，对问题织物 24小时内处理到位。</w:t>
            </w:r>
          </w:p>
        </w:tc>
        <w:tc>
          <w:tcPr>
            <w:tcW w:w="1145" w:type="dxa"/>
            <w:noWrap w:val="0"/>
            <w:vAlign w:val="center"/>
          </w:tcPr>
          <w:p w14:paraId="7B69ABB0">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9</w:t>
            </w:r>
          </w:p>
        </w:tc>
        <w:tc>
          <w:tcPr>
            <w:tcW w:w="1193" w:type="dxa"/>
            <w:noWrap w:val="0"/>
            <w:vAlign w:val="center"/>
          </w:tcPr>
          <w:p w14:paraId="2088670A">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3C5F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5840" w:type="dxa"/>
            <w:gridSpan w:val="3"/>
            <w:noWrap w:val="0"/>
            <w:vAlign w:val="center"/>
          </w:tcPr>
          <w:p w14:paraId="171BF4B3">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合计</w:t>
            </w:r>
          </w:p>
        </w:tc>
        <w:tc>
          <w:tcPr>
            <w:tcW w:w="1145" w:type="dxa"/>
            <w:noWrap w:val="0"/>
            <w:vAlign w:val="center"/>
          </w:tcPr>
          <w:p w14:paraId="62701908">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100</w:t>
            </w:r>
          </w:p>
        </w:tc>
        <w:tc>
          <w:tcPr>
            <w:tcW w:w="1193" w:type="dxa"/>
            <w:noWrap w:val="0"/>
            <w:vAlign w:val="center"/>
          </w:tcPr>
          <w:p w14:paraId="5E501F8D">
            <w:pPr>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p>
        </w:tc>
      </w:tr>
      <w:tr w14:paraId="785F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178" w:type="dxa"/>
            <w:gridSpan w:val="5"/>
            <w:noWrap w:val="0"/>
            <w:vAlign w:val="center"/>
          </w:tcPr>
          <w:p w14:paraId="1FC71847">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您认为我们还可以在哪些方面予以改进？</w:t>
            </w:r>
          </w:p>
        </w:tc>
      </w:tr>
      <w:tr w14:paraId="5A98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2" w:hRule="atLeast"/>
          <w:jc w:val="center"/>
        </w:trPr>
        <w:tc>
          <w:tcPr>
            <w:tcW w:w="8178" w:type="dxa"/>
            <w:gridSpan w:val="5"/>
            <w:noWrap w:val="0"/>
            <w:vAlign w:val="center"/>
          </w:tcPr>
          <w:p w14:paraId="5025DB4D">
            <w:pPr>
              <w:pStyle w:val="5"/>
              <w:keepNext w:val="0"/>
              <w:keepLines w:val="0"/>
              <w:pageBreakBefore w:val="0"/>
              <w:wordWrap/>
              <w:overflowPunct/>
              <w:topLinePunct w:val="0"/>
              <w:bidi w:val="0"/>
              <w:adjustRightInd w:val="0"/>
              <w:snapToGrid w:val="0"/>
              <w:spacing w:line="360" w:lineRule="auto"/>
              <w:ind w:left="0" w:right="0" w:firstLine="381"/>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衷心感谢您提出的建议和意见，请填写您的个人联系方式，以便我们能够与您 取得联系，跟进您的意见。</w:t>
            </w:r>
          </w:p>
        </w:tc>
      </w:tr>
      <w:tr w14:paraId="6F46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jc w:val="center"/>
        </w:trPr>
        <w:tc>
          <w:tcPr>
            <w:tcW w:w="8178" w:type="dxa"/>
            <w:gridSpan w:val="5"/>
            <w:noWrap w:val="0"/>
            <w:vAlign w:val="center"/>
          </w:tcPr>
          <w:p w14:paraId="1D0387B9">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填表人：      职务：        部门：        电话：</w:t>
            </w:r>
          </w:p>
        </w:tc>
      </w:tr>
      <w:tr w14:paraId="1E42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8178" w:type="dxa"/>
            <w:gridSpan w:val="5"/>
            <w:noWrap w:val="0"/>
            <w:vAlign w:val="center"/>
          </w:tcPr>
          <w:p w14:paraId="66BD8050">
            <w:pPr>
              <w:pStyle w:val="5"/>
              <w:keepNext w:val="0"/>
              <w:keepLines w:val="0"/>
              <w:pageBreakBefore w:val="0"/>
              <w:wordWrap/>
              <w:overflowPunct/>
              <w:topLinePunct w:val="0"/>
              <w:bidi w:val="0"/>
              <w:adjustRightInd w:val="0"/>
              <w:snapToGrid w:val="0"/>
              <w:spacing w:line="360" w:lineRule="auto"/>
              <w:ind w:left="0" w:right="0"/>
              <w:jc w:val="center"/>
              <w:rPr>
                <w:rFonts w:hint="eastAsia" w:ascii="宋体" w:hAnsi="宋体" w:eastAsia="宋体" w:cs="宋体"/>
                <w:snapToGrid/>
                <w:color w:val="auto"/>
                <w:kern w:val="2"/>
                <w:sz w:val="24"/>
                <w:szCs w:val="24"/>
                <w:lang w:val="en-US" w:eastAsia="zh-CN" w:bidi="ar-SA"/>
              </w:rPr>
            </w:pPr>
            <w:r>
              <w:rPr>
                <w:rFonts w:hint="eastAsia" w:ascii="宋体" w:hAnsi="宋体" w:eastAsia="宋体" w:cs="宋体"/>
                <w:snapToGrid/>
                <w:color w:val="auto"/>
                <w:kern w:val="2"/>
                <w:sz w:val="24"/>
                <w:szCs w:val="24"/>
                <w:lang w:val="en-US" w:eastAsia="zh-CN" w:bidi="ar-SA"/>
              </w:rPr>
              <w:t>填表日期：  年   月    日</w:t>
            </w:r>
          </w:p>
        </w:tc>
      </w:tr>
    </w:tbl>
    <w:p w14:paraId="75D2C8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在合同履行期内，若乙方日常服务不能满足甲方使用需求，且存在以下情况时，按下述要求执行。 ① 月综合评分在85分以上为合格，得分在85分以下为不合格。 ② 月综合考评不合格时必须承担相应的违约责任：考评分在80-84分，扣除当月洗涤总服务费的5%作为违约金；75-79分，扣除当月洗涤总服务费的10%作为违约金；74分以下，扣除当月洗涤总服务费的15%作为违约金。 ③ 扣罚款项在应支付给乙方的任一合同款项中予以足额扣除。 </w:t>
      </w:r>
    </w:p>
    <w:p w14:paraId="17468F3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乙方因服务不到位，投诉到主管科室经核实情况属实扣减乙方500元/次，并限期整改；投诉到院领导处经核实情况属实扣减乙方1000元/次，并限期整改。 </w:t>
      </w:r>
    </w:p>
    <w:p w14:paraId="7488BFC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甲乙双方应全面履行合同，不得无故终止和解除，单方违约应赔偿对方的经济损失，具体赔偿金额为前三个月的洗涤总费用； </w:t>
      </w:r>
    </w:p>
    <w:p w14:paraId="1B23F39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洗涤标准达不到甲方要求，每发现一件不符合要求，乙方支付违约金50元；累计发现20次仍不符合要求的，甲方有权解除合同，合同自书面解除通知到达乙方之日解除，乙方按已发生全部洗涤服务费的30%向甲方支付违约金。违约金在履约保证金和服务费中扣减，不足以扣减的，乙方另行支付。</w:t>
      </w:r>
    </w:p>
    <w:p w14:paraId="118924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合作期间，甲乙双方均应严守商业秘密，任何泄露本协议内容的一方均应承担由此给对方造成的直接经济损失及相应的法律责任。</w:t>
      </w:r>
    </w:p>
    <w:p w14:paraId="63BD418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未经甲方同意，乙方对该项目进行转包或分包的，甲方有权解除合同，</w:t>
      </w:r>
    </w:p>
    <w:p w14:paraId="6FC2BE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若因乙方原因造成甲方返回物品中有异物，且对甲方相关人员造成精神损伤及人身伤害等的，由乙方全面负责赔偿相关事宜，由此给甲方带来的不良影响，甲方有权按事件影响程度进行处罚。</w:t>
      </w:r>
    </w:p>
    <w:p w14:paraId="406CA76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其它违约责任按《中华人民共和国民法典》处理。</w:t>
      </w:r>
    </w:p>
    <w:p w14:paraId="081BEC12">
      <w:pPr>
        <w:numPr>
          <w:ilvl w:val="0"/>
          <w:numId w:val="0"/>
        </w:numPr>
        <w:spacing w:line="360" w:lineRule="auto"/>
        <w:ind w:left="1521" w:leftChars="0" w:hanging="1095" w:firstLineChars="0"/>
        <w:rPr>
          <w:rFonts w:hint="eastAsia" w:ascii="宋体" w:hAnsi="宋体" w:eastAsia="宋体" w:cs="宋体"/>
          <w:b/>
          <w:sz w:val="24"/>
          <w:szCs w:val="24"/>
          <w:highlight w:val="none"/>
        </w:rPr>
      </w:pPr>
      <w:r>
        <w:rPr>
          <w:rFonts w:hint="eastAsia" w:ascii="宋体" w:hAnsi="宋体" w:eastAsia="宋体" w:cs="宋体"/>
          <w:b/>
          <w:kern w:val="2"/>
          <w:sz w:val="24"/>
          <w:szCs w:val="24"/>
          <w:lang w:val="en-US" w:eastAsia="zh-CN" w:bidi="ar-SA"/>
        </w:rPr>
        <w:t>六、</w:t>
      </w:r>
      <w:r>
        <w:rPr>
          <w:rFonts w:hint="eastAsia" w:ascii="宋体" w:hAnsi="宋体" w:eastAsia="宋体" w:cs="宋体"/>
          <w:b/>
          <w:sz w:val="24"/>
          <w:szCs w:val="24"/>
          <w:highlight w:val="none"/>
        </w:rPr>
        <w:t>无产权瑕疵条款</w:t>
      </w:r>
    </w:p>
    <w:p w14:paraId="3B0ADF50">
      <w:pPr>
        <w:tabs>
          <w:tab w:val="left" w:pos="144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乙方保证所提供的服务的所有权完全属于乙方且无任何抵押、查封等产权瑕疵。如有产权瑕疵的，视为乙方违约。乙方应负担由此而产生的一切损失。</w:t>
      </w:r>
    </w:p>
    <w:p w14:paraId="26F339CA">
      <w:pPr>
        <w:numPr>
          <w:ilvl w:val="0"/>
          <w:numId w:val="0"/>
        </w:numPr>
        <w:spacing w:line="360" w:lineRule="auto"/>
        <w:ind w:left="1521" w:leftChars="0" w:hanging="1095" w:firstLineChars="0"/>
        <w:rPr>
          <w:rFonts w:hint="eastAsia" w:ascii="宋体" w:hAnsi="宋体" w:eastAsia="宋体" w:cs="宋体"/>
          <w:b/>
          <w:sz w:val="24"/>
          <w:szCs w:val="24"/>
          <w:highlight w:val="none"/>
        </w:rPr>
      </w:pPr>
      <w:r>
        <w:rPr>
          <w:rFonts w:hint="eastAsia" w:ascii="宋体" w:hAnsi="宋体" w:eastAsia="宋体" w:cs="宋体"/>
          <w:b/>
          <w:kern w:val="2"/>
          <w:sz w:val="24"/>
          <w:szCs w:val="24"/>
          <w:lang w:val="en-US" w:eastAsia="zh-CN" w:bidi="ar-SA"/>
        </w:rPr>
        <w:t>七、</w:t>
      </w:r>
      <w:r>
        <w:rPr>
          <w:rFonts w:hint="eastAsia" w:ascii="宋体" w:hAnsi="宋体" w:eastAsia="宋体" w:cs="宋体"/>
          <w:b/>
          <w:sz w:val="24"/>
          <w:szCs w:val="24"/>
          <w:highlight w:val="none"/>
        </w:rPr>
        <w:t>甲方的权利和义务</w:t>
      </w:r>
    </w:p>
    <w:p w14:paraId="64DD9407">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1C73E553">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甲方有权依据双方签订的考评办法对乙方提供的服务进行定期考评。当考评结果未达到标准时，有权依据考评办法约定的数额扣除履约保证金。</w:t>
      </w:r>
    </w:p>
    <w:p w14:paraId="2F0CC830">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3</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负责检查监督乙方管理工作的实施及制度的执行情况。</w:t>
      </w:r>
    </w:p>
    <w:p w14:paraId="018BCCFD">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4</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根据本合同规定，按时向乙方支付应付服务费用。</w:t>
      </w:r>
    </w:p>
    <w:p w14:paraId="15D616C5">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5</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国家法律、法规所规定由甲方承担的其它责任。</w:t>
      </w:r>
    </w:p>
    <w:p w14:paraId="53AE5EBF">
      <w:pPr>
        <w:numPr>
          <w:ilvl w:val="0"/>
          <w:numId w:val="0"/>
        </w:numPr>
        <w:spacing w:line="360" w:lineRule="auto"/>
        <w:ind w:left="1521" w:leftChars="0" w:hanging="1095" w:firstLineChars="0"/>
        <w:rPr>
          <w:rFonts w:hint="eastAsia" w:ascii="宋体" w:hAnsi="宋体" w:eastAsia="宋体" w:cs="宋体"/>
          <w:b/>
          <w:sz w:val="24"/>
          <w:szCs w:val="24"/>
          <w:highlight w:val="none"/>
        </w:rPr>
      </w:pPr>
      <w:r>
        <w:rPr>
          <w:rFonts w:hint="eastAsia" w:ascii="宋体" w:hAnsi="宋体" w:eastAsia="宋体" w:cs="宋体"/>
          <w:b/>
          <w:kern w:val="2"/>
          <w:sz w:val="24"/>
          <w:szCs w:val="24"/>
          <w:lang w:val="en-US" w:eastAsia="zh-CN" w:bidi="ar-SA"/>
        </w:rPr>
        <w:t>八、</w:t>
      </w:r>
      <w:r>
        <w:rPr>
          <w:rFonts w:hint="eastAsia" w:ascii="宋体" w:hAnsi="宋体" w:eastAsia="宋体" w:cs="宋体"/>
          <w:b/>
          <w:sz w:val="24"/>
          <w:szCs w:val="24"/>
          <w:highlight w:val="none"/>
        </w:rPr>
        <w:t>乙方的权利和义务</w:t>
      </w:r>
    </w:p>
    <w:p w14:paraId="4FF22C26">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对本合同规定的委托服务范围内的项目享有管理权及服务义务。</w:t>
      </w:r>
    </w:p>
    <w:p w14:paraId="4DB7FBAD">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根据本合同的规定向甲方收取相关服务费用，并有权在本项目管理范围内管理及合理使用。</w:t>
      </w:r>
    </w:p>
    <w:p w14:paraId="4444E9DC">
      <w:pPr>
        <w:adjustRightInd w:val="0"/>
        <w:spacing w:line="360" w:lineRule="auto"/>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及时向甲方通告本项目服务范围内有关服务的重大事项，及时配合处理投诉。</w:t>
      </w:r>
    </w:p>
    <w:p w14:paraId="06109A42">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eastAsia="宋体" w:cs="宋体"/>
          <w:bCs/>
          <w:sz w:val="24"/>
          <w:szCs w:val="24"/>
          <w:highlight w:val="none"/>
        </w:rPr>
        <w:t>接受项目行业管理部门及政府有关部门的指导，接受甲方的监督。</w:t>
      </w:r>
    </w:p>
    <w:p w14:paraId="481408EC">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5</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国家法律、法规所规定由乙方承担的其它责任。</w:t>
      </w:r>
    </w:p>
    <w:p w14:paraId="382BAC1B">
      <w:pPr>
        <w:numPr>
          <w:ilvl w:val="0"/>
          <w:numId w:val="0"/>
        </w:numPr>
        <w:spacing w:line="360" w:lineRule="auto"/>
        <w:ind w:left="1521" w:leftChars="0" w:hanging="1095"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九、</w:t>
      </w:r>
      <w:r>
        <w:rPr>
          <w:rFonts w:hint="eastAsia" w:ascii="宋体" w:hAnsi="宋体" w:eastAsia="宋体" w:cs="宋体"/>
          <w:b/>
          <w:sz w:val="24"/>
          <w:szCs w:val="24"/>
          <w:highlight w:val="none"/>
        </w:rPr>
        <w:t>违约责任</w:t>
      </w:r>
    </w:p>
    <w:p w14:paraId="2B0E9C0A">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甲乙双方必须遵守本合同并执行合同中的各项规定，保证本合同的正常履行。</w:t>
      </w:r>
    </w:p>
    <w:p w14:paraId="3C644978">
      <w:pPr>
        <w:adjustRightInd w:val="0"/>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2CD6D4B">
      <w:pPr>
        <w:numPr>
          <w:ilvl w:val="0"/>
          <w:numId w:val="0"/>
        </w:numPr>
        <w:spacing w:line="360" w:lineRule="auto"/>
        <w:ind w:left="1521" w:leftChars="0" w:hanging="1095" w:firstLineChars="0"/>
        <w:rPr>
          <w:rFonts w:hint="eastAsia" w:ascii="宋体" w:hAnsi="宋体" w:eastAsia="宋体" w:cs="宋体"/>
          <w:b/>
          <w:sz w:val="24"/>
          <w:szCs w:val="24"/>
          <w:highlight w:val="none"/>
        </w:rPr>
      </w:pPr>
      <w:r>
        <w:rPr>
          <w:rFonts w:hint="eastAsia" w:ascii="宋体" w:hAnsi="宋体" w:eastAsia="宋体" w:cs="宋体"/>
          <w:b/>
          <w:kern w:val="2"/>
          <w:sz w:val="24"/>
          <w:szCs w:val="24"/>
          <w:lang w:val="en-US" w:eastAsia="zh-CN" w:bidi="ar-SA"/>
        </w:rPr>
        <w:t>十、</w:t>
      </w:r>
      <w:r>
        <w:rPr>
          <w:rFonts w:hint="eastAsia" w:ascii="宋体" w:hAnsi="宋体" w:eastAsia="宋体" w:cs="宋体"/>
          <w:b/>
          <w:sz w:val="24"/>
          <w:szCs w:val="24"/>
          <w:highlight w:val="none"/>
        </w:rPr>
        <w:t>不可抗力事件处理</w:t>
      </w:r>
    </w:p>
    <w:p w14:paraId="3A517193">
      <w:pPr>
        <w:tabs>
          <w:tab w:val="left" w:pos="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在合同有效期内，任何一方因不可抗力事件导致不能履行合同，则合同履行期可延长，其延长期与不可抗力影响期相同。</w:t>
      </w:r>
    </w:p>
    <w:p w14:paraId="3EA45DA8">
      <w:pPr>
        <w:tabs>
          <w:tab w:val="left" w:pos="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不可抗力事件发生后，应立即通知对方，并寄送有关权威机构出具的证明。</w:t>
      </w:r>
    </w:p>
    <w:p w14:paraId="33752F70">
      <w:pPr>
        <w:tabs>
          <w:tab w:val="left" w:pos="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不可抗力事件</w:t>
      </w:r>
      <w:r>
        <w:rPr>
          <w:rFonts w:hint="eastAsia" w:ascii="宋体" w:hAnsi="宋体" w:eastAsia="宋体" w:cs="宋体"/>
          <w:sz w:val="24"/>
          <w:szCs w:val="24"/>
          <w:highlight w:val="none"/>
          <w:u w:val="none"/>
        </w:rPr>
        <w:t>延续在天</w:t>
      </w:r>
      <w:r>
        <w:rPr>
          <w:rFonts w:hint="eastAsia" w:ascii="宋体" w:hAnsi="宋体" w:eastAsia="宋体" w:cs="宋体"/>
          <w:sz w:val="24"/>
          <w:szCs w:val="24"/>
          <w:highlight w:val="none"/>
        </w:rPr>
        <w:t>以上，双方应通过友好协商，确定是否继续履行合同。</w:t>
      </w:r>
    </w:p>
    <w:p w14:paraId="6567F217">
      <w:pPr>
        <w:numPr>
          <w:ilvl w:val="0"/>
          <w:numId w:val="0"/>
        </w:numPr>
        <w:spacing w:line="360" w:lineRule="auto"/>
        <w:ind w:left="1521" w:leftChars="0" w:hanging="1095" w:firstLineChars="0"/>
        <w:rPr>
          <w:rFonts w:hint="eastAsia" w:ascii="宋体" w:hAnsi="宋体" w:eastAsia="宋体" w:cs="宋体"/>
          <w:b/>
          <w:sz w:val="24"/>
          <w:szCs w:val="24"/>
          <w:highlight w:val="none"/>
        </w:rPr>
      </w:pPr>
      <w:bookmarkStart w:id="0" w:name="_Toc185395254"/>
      <w:bookmarkStart w:id="1" w:name="_Toc237145411"/>
      <w:bookmarkStart w:id="2" w:name="_Toc238984980"/>
      <w:bookmarkStart w:id="3" w:name="_Toc225244857"/>
      <w:bookmarkStart w:id="4" w:name="_Toc286993792"/>
      <w:bookmarkStart w:id="5" w:name="_Toc211911353"/>
      <w:bookmarkStart w:id="6" w:name="_Toc239233919"/>
      <w:bookmarkStart w:id="7" w:name="_Toc251768867"/>
      <w:bookmarkStart w:id="8" w:name="_Toc232492933"/>
      <w:bookmarkStart w:id="9" w:name="_Toc247334846"/>
      <w:bookmarkStart w:id="10" w:name="_Toc239568423"/>
      <w:bookmarkStart w:id="11" w:name="_Toc212019599"/>
      <w:bookmarkStart w:id="12" w:name="_Toc211854454"/>
      <w:bookmarkStart w:id="13" w:name="_Toc241833908"/>
      <w:bookmarkStart w:id="14" w:name="_Toc225654649"/>
      <w:bookmarkStart w:id="15" w:name="_Toc225670756"/>
      <w:r>
        <w:rPr>
          <w:rFonts w:hint="eastAsia" w:ascii="宋体" w:hAnsi="宋体" w:eastAsia="宋体" w:cs="宋体"/>
          <w:b/>
          <w:kern w:val="2"/>
          <w:sz w:val="24"/>
          <w:szCs w:val="24"/>
          <w:lang w:val="en-US" w:eastAsia="zh-CN" w:bidi="ar-SA"/>
        </w:rPr>
        <w:t>十一、</w:t>
      </w:r>
      <w:r>
        <w:rPr>
          <w:rFonts w:hint="eastAsia" w:ascii="宋体" w:hAnsi="宋体" w:eastAsia="宋体" w:cs="宋体"/>
          <w:b/>
          <w:sz w:val="24"/>
          <w:szCs w:val="24"/>
          <w:highlight w:val="none"/>
        </w:rPr>
        <w:t>解决合同纠纷的方式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11B0B1">
      <w:pPr>
        <w:tabs>
          <w:tab w:val="left" w:pos="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在执行本合同中发生的或与本合同有关的争端，双方应通过友好协商解决，经协商</w:t>
      </w:r>
      <w:r>
        <w:rPr>
          <w:rFonts w:hint="eastAsia" w:ascii="宋体" w:hAnsi="宋体" w:eastAsia="宋体" w:cs="宋体"/>
          <w:sz w:val="24"/>
          <w:szCs w:val="24"/>
          <w:highlight w:val="none"/>
          <w:u w:val="none"/>
        </w:rPr>
        <w:t>在天</w:t>
      </w:r>
      <w:r>
        <w:rPr>
          <w:rFonts w:hint="eastAsia" w:ascii="宋体" w:hAnsi="宋体" w:eastAsia="宋体" w:cs="宋体"/>
          <w:sz w:val="24"/>
          <w:szCs w:val="24"/>
          <w:highlight w:val="none"/>
        </w:rPr>
        <w:t>内不能达成协议时，应提交</w:t>
      </w:r>
      <w:r>
        <w:rPr>
          <w:rFonts w:hint="eastAsia" w:ascii="宋体" w:hAnsi="宋体" w:eastAsia="宋体" w:cs="宋体"/>
          <w:sz w:val="24"/>
          <w:szCs w:val="24"/>
          <w:highlight w:val="none"/>
          <w:u w:val="none"/>
        </w:rPr>
        <w:t>仲裁委员会</w:t>
      </w:r>
      <w:r>
        <w:rPr>
          <w:rFonts w:hint="eastAsia" w:ascii="宋体" w:hAnsi="宋体" w:eastAsia="宋体" w:cs="宋体"/>
          <w:sz w:val="24"/>
          <w:szCs w:val="24"/>
          <w:highlight w:val="none"/>
          <w:u w:val="none"/>
          <w:lang w:eastAsia="zh-CN"/>
        </w:rPr>
        <w:t>予以进行</w:t>
      </w:r>
      <w:r>
        <w:rPr>
          <w:rFonts w:hint="eastAsia" w:ascii="宋体" w:hAnsi="宋体" w:eastAsia="宋体" w:cs="宋体"/>
          <w:sz w:val="24"/>
          <w:szCs w:val="24"/>
          <w:highlight w:val="none"/>
        </w:rPr>
        <w:t>仲裁。</w:t>
      </w:r>
    </w:p>
    <w:p w14:paraId="2EF7B4A5">
      <w:pPr>
        <w:tabs>
          <w:tab w:val="left" w:pos="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仲裁裁决应为最终决定，并对双方具有约束力。</w:t>
      </w:r>
    </w:p>
    <w:p w14:paraId="079BE249">
      <w:pPr>
        <w:tabs>
          <w:tab w:val="left" w:pos="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除另有裁决外，仲裁费应由败诉方负担。 </w:t>
      </w:r>
    </w:p>
    <w:p w14:paraId="557EB92F">
      <w:pPr>
        <w:tabs>
          <w:tab w:val="left" w:pos="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在仲裁期间，除正在进行仲裁部分外，合同其他部分继续执行。  </w:t>
      </w:r>
    </w:p>
    <w:p w14:paraId="5F85A24A">
      <w:pPr>
        <w:numPr>
          <w:ilvl w:val="0"/>
          <w:numId w:val="0"/>
        </w:numPr>
        <w:spacing w:line="360" w:lineRule="auto"/>
        <w:ind w:left="1521" w:leftChars="0" w:hanging="1095" w:firstLineChars="0"/>
        <w:rPr>
          <w:rFonts w:hint="eastAsia" w:ascii="宋体" w:hAnsi="宋体" w:eastAsia="宋体" w:cs="宋体"/>
          <w:b/>
          <w:sz w:val="24"/>
          <w:szCs w:val="24"/>
          <w:highlight w:val="none"/>
        </w:rPr>
      </w:pPr>
      <w:bookmarkStart w:id="16" w:name="_Toc247334847"/>
      <w:bookmarkStart w:id="17" w:name="_Toc237145412"/>
      <w:bookmarkStart w:id="18" w:name="_Toc225654650"/>
      <w:bookmarkStart w:id="19" w:name="_Toc238984981"/>
      <w:bookmarkStart w:id="20" w:name="_Toc185395255"/>
      <w:bookmarkStart w:id="21" w:name="_Toc241833909"/>
      <w:bookmarkStart w:id="22" w:name="_Toc251768868"/>
      <w:bookmarkStart w:id="23" w:name="_Toc212019600"/>
      <w:bookmarkStart w:id="24" w:name="_Toc282696231"/>
      <w:bookmarkStart w:id="25" w:name="_Toc286993793"/>
      <w:bookmarkStart w:id="26" w:name="_Toc211854455"/>
      <w:bookmarkStart w:id="27" w:name="_Toc283019219"/>
      <w:bookmarkStart w:id="28" w:name="_Toc225670757"/>
      <w:bookmarkStart w:id="29" w:name="_Toc232492934"/>
      <w:bookmarkStart w:id="30" w:name="_Toc225244858"/>
      <w:bookmarkStart w:id="31" w:name="_Toc239568424"/>
      <w:bookmarkStart w:id="32" w:name="_Toc211911354"/>
      <w:bookmarkStart w:id="33" w:name="_Toc239233920"/>
      <w:r>
        <w:rPr>
          <w:rFonts w:hint="eastAsia" w:ascii="宋体" w:hAnsi="宋体" w:eastAsia="宋体" w:cs="宋体"/>
          <w:b/>
          <w:kern w:val="2"/>
          <w:sz w:val="24"/>
          <w:szCs w:val="24"/>
          <w:lang w:val="en-US" w:eastAsia="zh-CN" w:bidi="ar-SA"/>
        </w:rPr>
        <w:t>十二、</w:t>
      </w:r>
      <w:r>
        <w:rPr>
          <w:rFonts w:hint="eastAsia" w:ascii="宋体" w:hAnsi="宋体" w:eastAsia="宋体" w:cs="宋体"/>
          <w:b/>
          <w:sz w:val="24"/>
          <w:szCs w:val="24"/>
          <w:highlight w:val="none"/>
        </w:rPr>
        <w:t>合同</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宋体" w:hAnsi="宋体" w:eastAsia="宋体" w:cs="宋体"/>
          <w:b/>
          <w:sz w:val="24"/>
          <w:szCs w:val="24"/>
          <w:highlight w:val="none"/>
        </w:rPr>
        <w:t>生效及其他</w:t>
      </w:r>
    </w:p>
    <w:p w14:paraId="3679F4E5">
      <w:pPr>
        <w:pStyle w:val="7"/>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合同经双方法定代表人或授权委托代理人签字并加盖单位公章后生效。</w:t>
      </w:r>
    </w:p>
    <w:p w14:paraId="434A42BF">
      <w:pPr>
        <w:pStyle w:val="7"/>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合同执行中涉及资金和采购内容修改或补充的，须经</w:t>
      </w:r>
      <w:r>
        <w:rPr>
          <w:rFonts w:hint="eastAsia" w:ascii="宋体" w:hAnsi="宋体" w:eastAsia="宋体" w:cs="宋体"/>
          <w:sz w:val="24"/>
          <w:szCs w:val="24"/>
          <w:highlight w:val="none"/>
          <w:lang w:eastAsia="zh-CN"/>
        </w:rPr>
        <w:t>甲方监督</w:t>
      </w:r>
      <w:r>
        <w:rPr>
          <w:rFonts w:hint="eastAsia" w:ascii="宋体" w:hAnsi="宋体" w:eastAsia="宋体" w:cs="宋体"/>
          <w:sz w:val="24"/>
          <w:szCs w:val="24"/>
          <w:highlight w:val="none"/>
        </w:rPr>
        <w:t>部门审批，并签书面补充协议报</w:t>
      </w:r>
      <w:r>
        <w:rPr>
          <w:rFonts w:hint="eastAsia" w:ascii="宋体" w:hAnsi="宋体" w:eastAsia="宋体" w:cs="宋体"/>
          <w:sz w:val="24"/>
          <w:szCs w:val="24"/>
          <w:highlight w:val="none"/>
          <w:lang w:eastAsia="zh-CN"/>
        </w:rPr>
        <w:t>甲方相关行政部门</w:t>
      </w:r>
      <w:r>
        <w:rPr>
          <w:rFonts w:hint="eastAsia" w:ascii="宋体" w:hAnsi="宋体" w:eastAsia="宋体" w:cs="宋体"/>
          <w:sz w:val="24"/>
          <w:szCs w:val="24"/>
          <w:highlight w:val="none"/>
        </w:rPr>
        <w:t>备案，方可作为主合同不可分割的一部分。</w:t>
      </w:r>
    </w:p>
    <w:p w14:paraId="75908E1F">
      <w:pPr>
        <w:pStyle w:val="7"/>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本合同一式</w:t>
      </w:r>
      <w:r>
        <w:rPr>
          <w:rFonts w:hint="eastAsia" w:ascii="宋体" w:hAnsi="宋体" w:eastAsia="宋体" w:cs="宋体"/>
          <w:color w:val="000000"/>
          <w:sz w:val="24"/>
          <w:szCs w:val="24"/>
          <w:highlight w:val="none"/>
          <w:lang w:eastAsia="zh-CN"/>
        </w:rPr>
        <w:t>陆</w:t>
      </w:r>
      <w:r>
        <w:rPr>
          <w:rFonts w:hint="eastAsia" w:ascii="宋体" w:hAnsi="宋体" w:eastAsia="宋体" w:cs="宋体"/>
          <w:sz w:val="24"/>
          <w:szCs w:val="24"/>
          <w:highlight w:val="none"/>
        </w:rPr>
        <w:t>份，自双方签章之日起起效。甲方份，乙方份，采购代理机构份，具有同等法律效力。</w:t>
      </w:r>
    </w:p>
    <w:p w14:paraId="262F78F5">
      <w:pPr>
        <w:numPr>
          <w:ilvl w:val="0"/>
          <w:numId w:val="0"/>
        </w:numPr>
        <w:spacing w:line="360" w:lineRule="auto"/>
        <w:ind w:left="1521" w:leftChars="0" w:hanging="1095" w:firstLineChars="0"/>
        <w:rPr>
          <w:rFonts w:hint="eastAsia" w:ascii="宋体" w:hAnsi="宋体" w:eastAsia="宋体" w:cs="宋体"/>
          <w:b/>
          <w:sz w:val="24"/>
          <w:szCs w:val="24"/>
          <w:highlight w:val="none"/>
        </w:rPr>
      </w:pPr>
      <w:r>
        <w:rPr>
          <w:rFonts w:hint="eastAsia" w:ascii="宋体" w:hAnsi="宋体" w:eastAsia="宋体" w:cs="宋体"/>
          <w:b/>
          <w:kern w:val="2"/>
          <w:sz w:val="24"/>
          <w:szCs w:val="24"/>
          <w:lang w:val="en-US" w:eastAsia="zh-CN" w:bidi="ar-SA"/>
        </w:rPr>
        <w:t>十三、</w:t>
      </w:r>
      <w:r>
        <w:rPr>
          <w:rFonts w:hint="eastAsia" w:ascii="宋体" w:hAnsi="宋体" w:eastAsia="宋体" w:cs="宋体"/>
          <w:b/>
          <w:sz w:val="24"/>
          <w:szCs w:val="24"/>
          <w:highlight w:val="none"/>
        </w:rPr>
        <w:t>附件</w:t>
      </w:r>
    </w:p>
    <w:p w14:paraId="03177722">
      <w:pPr>
        <w:pStyle w:val="7"/>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竞争性磋商文件</w:t>
      </w:r>
    </w:p>
    <w:p w14:paraId="3FC24C87">
      <w:pPr>
        <w:pStyle w:val="7"/>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澄清</w:t>
      </w:r>
      <w:r>
        <w:rPr>
          <w:rFonts w:hint="eastAsia" w:ascii="宋体" w:hAnsi="宋体" w:eastAsia="宋体" w:cs="宋体"/>
          <w:sz w:val="24"/>
          <w:szCs w:val="24"/>
          <w:highlight w:val="none"/>
          <w:lang w:eastAsia="zh-CN"/>
        </w:rPr>
        <w:t>（或答疑）</w:t>
      </w:r>
      <w:r>
        <w:rPr>
          <w:rFonts w:hint="eastAsia" w:ascii="宋体" w:hAnsi="宋体" w:eastAsia="宋体" w:cs="宋体"/>
          <w:sz w:val="24"/>
          <w:szCs w:val="24"/>
          <w:highlight w:val="none"/>
        </w:rPr>
        <w:t>文件</w:t>
      </w:r>
    </w:p>
    <w:p w14:paraId="60CB69C9">
      <w:pPr>
        <w:pStyle w:val="7"/>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响应文件</w:t>
      </w:r>
    </w:p>
    <w:p w14:paraId="0B8785A2">
      <w:pPr>
        <w:pStyle w:val="7"/>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中标（成交）通知书</w:t>
      </w:r>
    </w:p>
    <w:p w14:paraId="0F2D732C">
      <w:pPr>
        <w:pStyle w:val="7"/>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其他</w:t>
      </w:r>
    </w:p>
    <w:p w14:paraId="3A4ACB02">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十四、</w:t>
      </w:r>
      <w:r>
        <w:rPr>
          <w:rFonts w:hint="eastAsia" w:ascii="宋体" w:hAnsi="宋体" w:eastAsia="宋体" w:cs="宋体"/>
          <w:b/>
          <w:bCs/>
          <w:sz w:val="24"/>
          <w:szCs w:val="24"/>
        </w:rPr>
        <w:t>争议解决</w:t>
      </w:r>
    </w:p>
    <w:p w14:paraId="1C49A7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本合同在履行过程中发生的争议，由甲、乙双方当事人协商解决，协商不成的，提交西安仲裁委员会仲裁裁决。</w:t>
      </w:r>
    </w:p>
    <w:p w14:paraId="5E78273C">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十五、</w:t>
      </w:r>
      <w:r>
        <w:rPr>
          <w:rFonts w:hint="eastAsia" w:ascii="宋体" w:hAnsi="宋体" w:eastAsia="宋体" w:cs="宋体"/>
          <w:b/>
          <w:bCs/>
          <w:sz w:val="24"/>
          <w:szCs w:val="24"/>
        </w:rPr>
        <w:t>合同生效及其他</w:t>
      </w:r>
    </w:p>
    <w:p w14:paraId="23634A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（一）本合同自签订之日起生效。</w:t>
      </w:r>
    </w:p>
    <w:p w14:paraId="167F2F8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（二）本合同一式捌份，其中甲方陆份，乙方贰份。</w:t>
      </w:r>
    </w:p>
    <w:p w14:paraId="7F3F350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（三）如本合同有未尽事宜，以招标文件为准，招标文件未做要求的，由双方依法订立补充合同。</w:t>
      </w:r>
    </w:p>
    <w:p w14:paraId="47571C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（四）招标文件、投标文件、澄清表（函）、中标通知书、合同附件均成为合同不可分割的部分。</w:t>
      </w:r>
    </w:p>
    <w:p w14:paraId="65A3D2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（五）本合同由买卖双方共同签字盖章之日起生效。</w:t>
      </w:r>
    </w:p>
    <w:tbl>
      <w:tblPr>
        <w:tblStyle w:val="3"/>
        <w:tblW w:w="0" w:type="auto"/>
        <w:jc w:val="center"/>
        <w:tblLayout w:type="fixed"/>
        <w:tblCellMar>
          <w:top w:w="0" w:type="dxa"/>
          <w:left w:w="108" w:type="dxa"/>
          <w:bottom w:w="0" w:type="dxa"/>
          <w:right w:w="108" w:type="dxa"/>
        </w:tblCellMar>
      </w:tblPr>
      <w:tblGrid>
        <w:gridCol w:w="4376"/>
        <w:gridCol w:w="3985"/>
      </w:tblGrid>
      <w:tr w14:paraId="5A8C5578">
        <w:tblPrEx>
          <w:tblCellMar>
            <w:top w:w="0" w:type="dxa"/>
            <w:left w:w="108" w:type="dxa"/>
            <w:bottom w:w="0" w:type="dxa"/>
            <w:right w:w="108" w:type="dxa"/>
          </w:tblCellMar>
        </w:tblPrEx>
        <w:trPr>
          <w:trHeight w:val="3095" w:hRule="atLeast"/>
          <w:jc w:val="center"/>
        </w:trPr>
        <w:tc>
          <w:tcPr>
            <w:tcW w:w="4376" w:type="dxa"/>
            <w:noWrap w:val="0"/>
            <w:tcMar>
              <w:top w:w="113" w:type="dxa"/>
              <w:left w:w="113" w:type="dxa"/>
              <w:bottom w:w="113" w:type="dxa"/>
              <w:right w:w="113" w:type="dxa"/>
            </w:tcMar>
            <w:vAlign w:val="center"/>
          </w:tcPr>
          <w:p w14:paraId="55D4F1B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bookmarkStart w:id="34" w:name="OLE_LINK14"/>
            <w:r>
              <w:rPr>
                <w:rFonts w:hint="eastAsia" w:ascii="宋体" w:hAnsi="宋体" w:eastAsia="宋体" w:cs="宋体"/>
                <w:sz w:val="24"/>
                <w:szCs w:val="24"/>
              </w:rPr>
              <w:t>甲方（盖章）：</w:t>
            </w:r>
          </w:p>
          <w:p w14:paraId="1759115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p w14:paraId="1140549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甲方名称：</w:t>
            </w:r>
          </w:p>
          <w:p w14:paraId="344D3F9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陕西省肿瘤医院</w:t>
            </w:r>
          </w:p>
          <w:p w14:paraId="25D3218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p w14:paraId="34E12B7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甲方代表签字：</w:t>
            </w:r>
          </w:p>
          <w:p w14:paraId="2794B64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p w14:paraId="50858B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签订日期：</w:t>
            </w:r>
          </w:p>
          <w:p w14:paraId="3F31B0E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年   月   日 </w:t>
            </w:r>
            <w:bookmarkEnd w:id="34"/>
          </w:p>
        </w:tc>
        <w:tc>
          <w:tcPr>
            <w:tcW w:w="3985" w:type="dxa"/>
            <w:noWrap w:val="0"/>
            <w:tcMar>
              <w:top w:w="113" w:type="dxa"/>
              <w:left w:w="113" w:type="dxa"/>
              <w:bottom w:w="113" w:type="dxa"/>
              <w:right w:w="113" w:type="dxa"/>
            </w:tcMar>
            <w:vAlign w:val="center"/>
          </w:tcPr>
          <w:p w14:paraId="335A7E1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乙方（盖章）： </w:t>
            </w:r>
          </w:p>
          <w:p w14:paraId="1C0750C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p w14:paraId="2FA630C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乙方名称：</w:t>
            </w:r>
          </w:p>
          <w:p w14:paraId="2F3AD7E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p w14:paraId="3F74462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乙方代表签字：</w:t>
            </w:r>
          </w:p>
          <w:p w14:paraId="2E6B079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p w14:paraId="5FB9AE1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签订日期：</w:t>
            </w:r>
          </w:p>
          <w:p w14:paraId="490A952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年    月    日</w:t>
            </w:r>
          </w:p>
        </w:tc>
      </w:tr>
    </w:tbl>
    <w:p w14:paraId="41DC2D91"/>
    <w:p w14:paraId="55905CE9">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val="en-US" w:eastAsia="zh-CN"/>
        </w:rPr>
      </w:pPr>
    </w:p>
    <w:p w14:paraId="351CC9D9">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val="en-US" w:eastAsia="zh-CN"/>
        </w:rPr>
      </w:pPr>
    </w:p>
    <w:p w14:paraId="6B8CD1C9">
      <w:pPr>
        <w:pStyle w:val="8"/>
        <w:adjustRightInd w:val="0"/>
        <w:snapToGrid w:val="0"/>
        <w:spacing w:line="360" w:lineRule="auto"/>
        <w:rPr>
          <w:rFonts w:hint="eastAsia" w:ascii="宋体" w:hAnsi="宋体" w:eastAsia="宋体" w:cs="宋体"/>
          <w:sz w:val="24"/>
          <w:szCs w:val="24"/>
          <w:highlight w:val="none"/>
        </w:rPr>
      </w:pPr>
    </w:p>
    <w:p w14:paraId="728148C6"/>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660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paragraph" w:customStyle="1" w:styleId="5">
    <w:name w:val="Table Text"/>
    <w:basedOn w:val="1"/>
    <w:semiHidden/>
    <w:qFormat/>
    <w:uiPriority w:val="0"/>
    <w:pPr>
      <w:widowControl/>
      <w:kinsoku w:val="0"/>
      <w:autoSpaceDE w:val="0"/>
      <w:autoSpaceDN w:val="0"/>
      <w:adjustRightInd w:val="0"/>
      <w:snapToGrid w:val="0"/>
      <w:spacing w:line="240" w:lineRule="auto"/>
      <w:jc w:val="left"/>
      <w:textAlignment w:val="baseline"/>
    </w:pPr>
    <w:rPr>
      <w:rFonts w:ascii="宋体" w:hAnsi="宋体" w:cs="宋体"/>
      <w:snapToGrid w:val="0"/>
      <w:color w:val="000000"/>
      <w:kern w:val="0"/>
      <w:sz w:val="20"/>
      <w:szCs w:val="20"/>
      <w:lang w:eastAsia="en-US"/>
    </w:rPr>
  </w:style>
  <w:style w:type="table" w:customStyle="1" w:styleId="6">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7">
    <w:name w:val="List Paragraph"/>
    <w:basedOn w:val="1"/>
    <w:qFormat/>
    <w:uiPriority w:val="34"/>
    <w:pPr>
      <w:ind w:firstLine="420" w:firstLineChars="200"/>
    </w:pPr>
    <w:rPr>
      <w:rFonts w:ascii="Calibri" w:hAnsi="Calibri" w:eastAsia="宋体" w:cs="Times New Roman"/>
    </w:rPr>
  </w:style>
  <w:style w:type="paragraph" w:customStyle="1" w:styleId="8">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2026-03-19T06:33:39Z</dcterms:created>
  <dc:creator>Administrator</dc:creator>
  <cp:lastModifiedBy>开瑞</cp:lastModifiedBy>
  <dcterms:modified xsi:type="dcterms:W3CDTF">2026-03-19T06:33:58Z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2250DF6C45844A1EBFCD2B3C998096B9_12</vt:lpwstr>
  </property>
</Properties>
</file>