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版本号：【KRDL】K3—2510214.1B220260318001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粒子动态分析仪（PDA）、带压界面流变仪采购项目(三次)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【KRDL】K3—2510214.1B2</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粒子动态分析仪（PDA）、带压界面流变仪采购项目(三次)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【KRDL】K3—2510214.1B2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粒子动态分析仪（PDA）、带压界面流变仪采购项目(三次)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西安石油大学粒子动态分析仪(PDA)、带压界面流变仪采购项目，具体内容详见招标文件技术要求。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进口产品授权链：所投产品为进口产品的，须提供所投产品厂家授权书或总代理商授权书（提供总代理商授权书的须出具有效授权权限的相关证明文件，证明文件须能显示产品制造厂家对所投产品授权链条的完整性）</w:t>
      </w:r>
    </w:p>
    <w:p>
      <w:pPr>
        <w:pStyle w:val="null3"/>
      </w:pPr>
      <w:r>
        <w:rPr>
          <w:rFonts w:ascii="仿宋_GB2312" w:hAnsi="仿宋_GB2312" w:cs="仿宋_GB2312" w:eastAsia="仿宋_GB2312"/>
        </w:rPr>
        <w:t>3、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张晨、马玉娇、王昭、姚瑶、刘昆、代光艳、王森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029-89563179、15109119970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说明：待合同执行完毕、服务验收合格后凭验收单和缴款收据，合同履约保证金予以无息退还。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同意代理机构的招标代理服务费参见国家计委颁布的《招标代理服务收费管理暂行办法》（计价格[2002]1980号）和（发改办价格[2011]534号）货物类收费标准的90%收取，按照中标金额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联系人：马玉娇、张晨</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西安石油大学粒子动态分析仪(PDA)、带压界面流变仪采购项目，具体内容详见招标文件技术要求。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粒子动态分析仪（PDA）</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标的名称：粒子动态分析仪（PDA）</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一、参数要求</w:t>
            </w:r>
          </w:p>
          <w:tbl>
            <w:tblPr>
              <w:tblBorders>
                <w:top w:val="none" w:color="000000" w:sz="4"/>
                <w:left w:val="none" w:color="000000" w:sz="4"/>
                <w:bottom w:val="none" w:color="000000" w:sz="4"/>
                <w:right w:val="none" w:color="000000" w:sz="4"/>
                <w:insideH w:val="none"/>
                <w:insideV w:val="none"/>
              </w:tblBorders>
            </w:tblPr>
            <w:tblGrid>
              <w:gridCol w:w="275"/>
              <w:gridCol w:w="2241"/>
            </w:tblGrid>
            <w:tr>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241"/>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总体技术指标</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速度测量范围：</w:t>
                  </w:r>
                  <w:r>
                    <w:rPr>
                      <w:rFonts w:ascii="仿宋_GB2312" w:hAnsi="仿宋_GB2312" w:cs="仿宋_GB2312" w:eastAsia="仿宋_GB2312"/>
                      <w:sz w:val="21"/>
                    </w:rPr>
                    <w:t>-200-150m/s</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速度测量不确定度：</w:t>
                  </w:r>
                  <w:r>
                    <w:rPr>
                      <w:rFonts w:ascii="仿宋_GB2312" w:hAnsi="仿宋_GB2312" w:cs="仿宋_GB2312" w:eastAsia="仿宋_GB2312"/>
                      <w:sz w:val="21"/>
                    </w:rPr>
                    <w:t>≤0.3%</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粒径测量范围：</w:t>
                  </w:r>
                  <w:r>
                    <w:rPr>
                      <w:rFonts w:ascii="仿宋_GB2312" w:hAnsi="仿宋_GB2312" w:cs="仿宋_GB2312" w:eastAsia="仿宋_GB2312"/>
                      <w:sz w:val="21"/>
                    </w:rPr>
                    <w:t>1-350um</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★粒径测量精度：≤1%Dmax且≤1%Dmeasurement</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★速度测量维度：二维</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发射系统</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激光能量</w:t>
                  </w:r>
                  <w:r>
                    <w:rPr>
                      <w:rFonts w:ascii="仿宋_GB2312" w:hAnsi="仿宋_GB2312" w:cs="仿宋_GB2312" w:eastAsia="仿宋_GB2312"/>
                      <w:sz w:val="21"/>
                    </w:rPr>
                    <w:t>≥70mW；</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▲光束间距≥50mm，光束直径≥1.8mm；</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另配</w:t>
                  </w:r>
                  <w:r>
                    <w:rPr>
                      <w:rFonts w:ascii="仿宋_GB2312" w:hAnsi="仿宋_GB2312" w:cs="仿宋_GB2312" w:eastAsia="仿宋_GB2312"/>
                      <w:sz w:val="21"/>
                    </w:rPr>
                    <w:t>300和400、500mm焦距前透镜各1，具有消除色差功能；</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包含相应的探头支架；</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接收光路</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▲接收探头：直径≥60mm，带≥10m光缆，包含≥3个接收器（在不更换透镜情况下可通过改变探头内部光路配置更改检测器接收夹角，以不重新调节光路获得不同的粒径测量范围）。</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包含可旋转、平移、俯仰的探头支架；</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光电转换器</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4.1</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各光电倍增管电压独立控制；</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4.2</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▲在不少于3个光强下实现全自动电子相位标定，以模拟不同粒径测量范围并补偿电路间的相位差；</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4.3</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各光电倍增管全自动过载保护；</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处理器</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5.1</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最大处理频率：</w:t>
                  </w:r>
                  <w:r>
                    <w:rPr>
                      <w:rFonts w:ascii="仿宋_GB2312" w:hAnsi="仿宋_GB2312" w:cs="仿宋_GB2312" w:eastAsia="仿宋_GB2312"/>
                      <w:sz w:val="21"/>
                    </w:rPr>
                    <w:t>≥120MHz；</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5.2</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最大带宽：</w:t>
                  </w:r>
                  <w:r>
                    <w:rPr>
                      <w:rFonts w:ascii="仿宋_GB2312" w:hAnsi="仿宋_GB2312" w:cs="仿宋_GB2312" w:eastAsia="仿宋_GB2312"/>
                      <w:sz w:val="21"/>
                    </w:rPr>
                    <w:t>≥80MHz；</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5.3</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最小渡越时间：</w:t>
                  </w:r>
                  <w:r>
                    <w:rPr>
                      <w:rFonts w:ascii="仿宋_GB2312" w:hAnsi="仿宋_GB2312" w:cs="仿宋_GB2312" w:eastAsia="仿宋_GB2312"/>
                      <w:sz w:val="21"/>
                    </w:rPr>
                    <w:t>≤90ns；</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5.4</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▲波群验证方法：具备12bit硬件FFT，带零点补偿及曲线拟合；</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5.5</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信号输出：</w:t>
                  </w:r>
                  <w:r>
                    <w:rPr>
                      <w:rFonts w:ascii="仿宋_GB2312" w:hAnsi="仿宋_GB2312" w:cs="仿宋_GB2312" w:eastAsia="仿宋_GB2312"/>
                      <w:sz w:val="21"/>
                    </w:rPr>
                    <w:t>≥32bit相位输出及≥64bit时间参数；</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▲具备1000M以太网和USB数据接口；</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采集分析系统</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运行环境：支持</w:t>
                  </w:r>
                  <w:r>
                    <w:rPr>
                      <w:rFonts w:ascii="仿宋_GB2312" w:hAnsi="仿宋_GB2312" w:cs="仿宋_GB2312" w:eastAsia="仿宋_GB2312"/>
                      <w:sz w:val="21"/>
                    </w:rPr>
                    <w:t>64bit Windows 10及以上；</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6.2</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应用软件应能对系统状态进行实时监测，用户能够根据需要对各采样通道的数据进行定制并显示。可以以</w:t>
                  </w:r>
                  <w:r>
                    <w:rPr>
                      <w:rFonts w:ascii="仿宋_GB2312" w:hAnsi="仿宋_GB2312" w:cs="仿宋_GB2312" w:eastAsia="仿宋_GB2312"/>
                      <w:sz w:val="21"/>
                    </w:rPr>
                    <w:t>m/s定义测量范围</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6.3</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▲具有示波器功能，可以实时同时显示各通道完整信号波形；</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6.4</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能对位移系统和信号处理系统进行控制，并监测其状态，实时显示系统特征指标及可测量参量范围。</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6.5</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可以在采集前适时在线观测数据，及各种数据展示结果；</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6.6</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具备多种采集停止方式，可根据平均速度变化、</w:t>
                  </w:r>
                  <w:r>
                    <w:rPr>
                      <w:rFonts w:ascii="仿宋_GB2312" w:hAnsi="仿宋_GB2312" w:cs="仿宋_GB2312" w:eastAsia="仿宋_GB2312"/>
                      <w:sz w:val="21"/>
                    </w:rPr>
                    <w:t>RMS变化等设置采集停止。</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6.7</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可以利用成熟的方法进行数据分析，包括流速、湍流度等参数的分析等；应能利用测量结果绘制相关的统计图表，如直方图、</w:t>
                  </w:r>
                  <w:r>
                    <w:rPr>
                      <w:rFonts w:ascii="仿宋_GB2312" w:hAnsi="仿宋_GB2312" w:cs="仿宋_GB2312" w:eastAsia="仿宋_GB2312"/>
                      <w:sz w:val="21"/>
                    </w:rPr>
                    <w:t>2D Plot、3D Plot、Filter、Profile-Plot等；无需其他软件，可基于多点测量结果绘制多点流型图。</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6.8</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▲可以得到全场速度矢量图，并结合粒径同步显示；</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6.9</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可软件内控制激光器参数，包含激光安全保护机制。</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6.10</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配备采集分析用终端（含主机、显示、操作系统），能够流畅运行配套采集分析软件及相关科学分析软件。</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坐标架系统</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7.1</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配备三维全自动坐标架，三轴行程均</w:t>
                  </w:r>
                  <w:r>
                    <w:rPr>
                      <w:rFonts w:ascii="仿宋_GB2312" w:hAnsi="仿宋_GB2312" w:cs="仿宋_GB2312" w:eastAsia="仿宋_GB2312"/>
                      <w:sz w:val="21"/>
                    </w:rPr>
                    <w:t>≥600mm，可软件控制，进行网格化测量；</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7.2</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包含三维坐标架控制器，控制分辨率</w:t>
                  </w:r>
                  <w:r>
                    <w:rPr>
                      <w:rFonts w:ascii="仿宋_GB2312" w:hAnsi="仿宋_GB2312" w:cs="仿宋_GB2312" w:eastAsia="仿宋_GB2312"/>
                      <w:sz w:val="21"/>
                    </w:rPr>
                    <w:t>优于</w:t>
                  </w:r>
                  <w:r>
                    <w:rPr>
                      <w:rFonts w:ascii="仿宋_GB2312" w:hAnsi="仿宋_GB2312" w:cs="仿宋_GB2312" w:eastAsia="仿宋_GB2312"/>
                      <w:sz w:val="21"/>
                    </w:rPr>
                    <w:t>3.5um；</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7.3</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往复误差：每运行</w:t>
                  </w:r>
                  <w:r>
                    <w:rPr>
                      <w:rFonts w:ascii="仿宋_GB2312" w:hAnsi="仿宋_GB2312" w:cs="仿宋_GB2312" w:eastAsia="仿宋_GB2312"/>
                      <w:sz w:val="21"/>
                    </w:rPr>
                    <w:t>300mm≤5um；</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7.4</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▲支持加速启动及停止，可自定义加速度；</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7.5</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配备探头安装架，承重</w:t>
                  </w:r>
                  <w:r>
                    <w:rPr>
                      <w:rFonts w:ascii="仿宋_GB2312" w:hAnsi="仿宋_GB2312" w:cs="仿宋_GB2312" w:eastAsia="仿宋_GB2312"/>
                      <w:sz w:val="21"/>
                    </w:rPr>
                    <w:t>≥50kg，可用仪器自动管理分析软件控制，进行网格化测量；</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7.6</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配置安装导轨，长度</w:t>
                  </w:r>
                  <w:r>
                    <w:rPr>
                      <w:rFonts w:ascii="仿宋_GB2312" w:hAnsi="仿宋_GB2312" w:cs="仿宋_GB2312" w:eastAsia="仿宋_GB2312"/>
                      <w:sz w:val="21"/>
                    </w:rPr>
                    <w:t>≥1200X800mm。</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西安石油大学指定地点(交货前与采购方约定)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进口设备：合同签订后，由甲方通过进口业务代理公司向中标人指定国外设备供应商开出100%信用证，待货物到货、安装调试、并经学校组织验收合格后，由甲方通知进出口业务代理公司向乙方解付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售后服务效率要求：7*24 即时响应（包括电话响应）；电话响应无法解决时，24小时内到达现场。修复时间48小时内；如48小时内无法修复，应提供相应解决方案。售后服务标准要求： 技术服务： 1.设备安装、调试和验收 2.卖方应在合同生效后的1个月内向用户提供详细的安装要求并提供技术咨询。 3.仪器到达用户所在地，在接到用户通知后一周内进行安装调试，直至通过验收。 4.技术培训：在用户所在地对用户进行为期1周的培训。培训内容包括仪器的技术原理、操作、数据处理、基本维护、软件操作等。 5.保修期：卖方提供3年的免费保修,保修期自仪器验收签字之日起计算。保修期间维修及核心零件更换费用由厂家负担。 6.维修响应时间：卖方应在24小时内对用户的服务要求作出响应，维修服务包括电话指导和现场维修。 7. 3年内，免费提供一次移机（含安装、调试）服务。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1.培训要求：在用户所在地对用户进行为期1周的培训。培训内容包括仪器的技术原理、操作、数据处理、基本维护、软件操作等。并提供完整的设备操作使用手册，电子版、纸质版各一套。 2.报价要求： （1）供应商应当根据采购文件的要求和范围，以人民币为货币，以元为报价单位。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相关费用（按合同金额的0.6%收取。包括外贸代理公司进口业务代理费、国内外银行手续费、报关费、商检费等）及进口货物按国家政策征收的一切税费（按国家政策规定甲方可以享受的免税部分除外）等全部相关费用； （3）投标人所提供的产品型号、产地等重要信息，需要与仪器机身保持一致。 3.合同签订前，中标人须向采购人提交合同总价的5.0%作为履约保证金；2.产品交付并由采购人验收合格后，中标人申请，采购人将履约保证金（无息）退还中标人。 4.投标保证金注意事项： （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471759883@qq.com（邮件命名：项目编号+标段）。保函必须由具有开具投标保函资格的单位开具；若供应商违约，开具保函单位承担连带责任；（3）保证金的退还：自中标通知书发出之日起5个工作日内退还未中标人的投标保证金,自采购合同签订之日起5个工作日内退还中标人的投标保证金。 5、中标供应商应在中标结果发布后2日内提供与电子化交易平台上传一致的纸质投标文件2份。 6、国产设备付款方式：合同签订后，供应商开具全额银行保函，采购人收到银行保函正本后，一次性付清合同货款，待货物到达指定地点、安装调试验收合格后，采购人退还银行保函。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1、供应商为合法注册的法人、其他组织或自然人，具有独立承担民事责任的能力，提供有效的证明材料； 2、供应商提供2023年度或2024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2供应商应提交的相关资格证明材料.docx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2供应商应提交的相关资格证明材料.docx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进口产品授权链</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w:t>
            </w:r>
          </w:p>
        </w:tc>
        <w:tc>
          <w:tcPr>
            <w:tcW w:type="dxa" w:w="1661"/>
          </w:tcPr>
          <w:p>
            <w:pPr>
              <w:pStyle w:val="null3"/>
            </w:pPr>
            <w:r>
              <w:rPr>
                <w:rFonts w:ascii="仿宋_GB2312" w:hAnsi="仿宋_GB2312" w:cs="仿宋_GB2312" w:eastAsia="仿宋_GB2312"/>
              </w:rPr>
              <w:t>2供应商应提交的相关资格证明材料.docx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2供应商应提交的相关资格证明材料.docx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本项目是否面向中小企业</w:t>
            </w:r>
          </w:p>
        </w:tc>
        <w:tc>
          <w:tcPr>
            <w:tcW w:type="dxa" w:w="3322"/>
          </w:tcPr>
          <w:p>
            <w:pPr>
              <w:pStyle w:val="null3"/>
            </w:pPr>
            <w:r>
              <w:rPr>
                <w:rFonts w:ascii="仿宋_GB2312" w:hAnsi="仿宋_GB2312" w:cs="仿宋_GB2312" w:eastAsia="仿宋_GB2312"/>
              </w:rPr>
              <w:t>本项目为非专门面向中、小、微型企业采购项目</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①《国务院办公厅关于建立政府强制采购节能产品制度的通知》（国办发〔2007〕51号）；②《财政部 司法部关于政府采购支持监狱企业发展有关问题的通知》（财库〔2014〕68号）；③《三部门联合发布关于促进残疾人就业政府采购政策的通知》（财库〔2017〕141号）；④《财政部 发展改革委 生态环境部 市场监管总局关于调整优化节能产品、环境标志产品政府采购执行机制的通知》（财库〔2019〕9号）；⑤《关于运用政府采购政策支持乡村产业振兴的通知》（财库〔2021〕19号）；⑥《政府采购促进中小企业发展管理办法》（财库〔2020〕46号）；⑦陕西省财政厅关于印发《陕西省中小企业政府采购信用融资办法》（陕财办采〔2018〕23号）；⑧《关于进一步加大政府采购支持中小企业力度的通知》（财库〔2022〕19号）；⑨《关于扩大政府采购支持绿色建材促进建筑品质提升政策实施范围的通知》（财库〔2022〕35号）；⑩如有最新颁布的政府采购政策，按最新的文件执行</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交货时间为本合同生效后90天内到货并安装调试交付使用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国产设备：合同签订后，供应商开具全额银行保函，采购人收到银行保函正本后，一次性付清合同货款，待货物到达指定地点、安装调试验收合格后，采购人退还银行保函。 进口设备：合同签订后，由甲方通过进口业务代理公司向中标人指定国外设备供应商开出100%信用证，待货物到货、安装调试、并经学校组织验收合格后，由甲方通知进出口业务代理公司向乙方解付</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 “★”项为实质性响应条款，须提供相应佐证材料（不限于产品彩页、检测报告、功能截图等），未提供或虽提供但不符合的按无效文件处理</w:t>
            </w:r>
          </w:p>
        </w:tc>
        <w:tc>
          <w:tcPr>
            <w:tcW w:type="dxa" w:w="1661"/>
          </w:tcPr>
          <w:p>
            <w:pPr>
              <w:pStyle w:val="null3"/>
            </w:pPr>
            <w:r>
              <w:rPr>
                <w:rFonts w:ascii="仿宋_GB2312" w:hAnsi="仿宋_GB2312" w:cs="仿宋_GB2312" w:eastAsia="仿宋_GB2312"/>
              </w:rPr>
              <w:t>产品技术参数表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根据招标文件要求认真审核投标文件中技术参数响应和提供的佐证材料。投标产品的基本功能、产品技术参数和配置完全满足或优于招标文件要求的，得满分30分； “▲”参数每负偏离一项扣3分，未带标识参数每负偏离一项扣1.0分。扣完为止。 备注：1.标“▲”号参数必须提供佐证材料（不限于产品彩页、检测报告、功能截图等），未提供佐证材料或提供的佐证材料无法证明或低于招标要求时按负偏离处理。 2.完全复制或者简单罗列招标文件技术参数要求的，技术参数项扣10分。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2技术方案，履约能力，售后及培训.docx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既为节能产品又是环境标志产品得1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2技术方案，履约能力，售后及培训.docx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针对本项目提供具体的实施方案，方案内容至少包含：1、总体实施方案；2、计划进度安排；3、项目团队配备；4、供货组织安排；5、安装调试验收方案。 方案内容完整全面，项目执行与项目进度安排、项目验收流程控制明确务实、实践性与可行性强；每有一项缺项扣2分，每有一处内容存在缺陷，扣0.5分，扣完为止。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供应商提供全生命周期方案，至少包含：1、全生命周期的扩展性和延续性；2、硬件与软件的适配性，项目耗材、维护成本等。 方案内容完整全面、有针对性，科学合理可实施性强；每有一项缺项扣2.5分，每有一处内容存在缺陷，扣1.0分，扣完为止。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方案内容完整全面，产品性能完善、使用寿命长，使用效果好。每有一项缺项扣2.5分，每有一处内容存在缺陷，扣1.0分，扣完为止。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针对本项目有具体的售后服务方案，内容至少包含：1、售后服务网点的设定、日常维护保养；2、项目交付用户后出现故障响应时间及措施；3、备品备件、耗材及时更换的服务内容； 方案内容完整全面，出现故障响应时间及时，响应措施完善；每有一项缺项扣3分；每有一处内容存在缺陷，扣1.0分，扣完为止。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供应商针对本项目提出具体的培训方案，方案内容至少包含：1、培训时间、培训人数、培训方式；2、培训内容应包括所提供产品的原理和技术性能、操作维护方法、安装调试、排除故障等各个方面。 方案内容完整，培训方式多样、培训内容涵盖全面；每有一项缺项扣2.0分，每有一处内容存在缺陷，扣1.0分，扣完为止。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提供供应商2022年10月1日至今（以合同签订日期为准）同类项目业绩。每提供1份得1分，最高得6分。 备注：提供合同复印件及发票复印件并加盖公章。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价格分统一采用低价优先法计算，即满足招标文件要求且价格最低的投标报价为评标基准价，其价格分为满分。其他供应商的价格分统一按照下列公式计算：价格分=(评标基准价／投标报价)×30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详见附件：2技术方案，履约能力，售后及培训.docx</w:t>
      </w:r>
    </w:p>
    <w:p>
      <w:pPr>
        <w:pStyle w:val="null3"/>
        <w:ind w:firstLine="960"/>
      </w:pPr>
      <w:r>
        <w:rPr>
          <w:rFonts w:ascii="仿宋_GB2312" w:hAnsi="仿宋_GB2312" w:cs="仿宋_GB2312" w:eastAsia="仿宋_GB2312"/>
        </w:rPr>
        <w:t>详见附件：2供应商应提交的相关资格证明材料.docx</w:t>
      </w:r>
    </w:p>
    <w:p>
      <w:pPr>
        <w:pStyle w:val="null3"/>
        <w:ind w:firstLine="960"/>
      </w:pPr>
      <w:r>
        <w:rPr>
          <w:rFonts w:ascii="仿宋_GB2312" w:hAnsi="仿宋_GB2312" w:cs="仿宋_GB2312" w:eastAsia="仿宋_GB2312"/>
        </w:rPr>
        <w:t>详见附件：设备业绩一览表.docx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