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E1D86">
      <w:pPr>
        <w:pStyle w:val="40"/>
        <w:jc w:val="center"/>
        <w:outlineLvl w:val="1"/>
        <w:rPr>
          <w:rFonts w:hint="default" w:ascii="仿宋" w:hAnsi="仿宋" w:eastAsia="仿宋" w:cs="仿宋"/>
        </w:rPr>
      </w:pPr>
      <w:r>
        <w:rPr>
          <w:rFonts w:ascii="仿宋" w:hAnsi="仿宋" w:eastAsia="仿宋" w:cs="仿宋"/>
          <w:b/>
          <w:sz w:val="36"/>
        </w:rPr>
        <w:t>拟签订合同文本</w:t>
      </w:r>
    </w:p>
    <w:p w14:paraId="71BE1D87">
      <w:pPr>
        <w:kinsoku w:val="0"/>
        <w:spacing w:line="360" w:lineRule="auto"/>
        <w:jc w:val="center"/>
        <w:rPr>
          <w:rFonts w:ascii="仿宋" w:hAnsi="仿宋" w:eastAsia="仿宋" w:cs="仿宋"/>
          <w:sz w:val="32"/>
          <w:szCs w:val="32"/>
        </w:rPr>
      </w:pPr>
    </w:p>
    <w:p w14:paraId="71BE1D88">
      <w:pPr>
        <w:kinsoku w:val="0"/>
        <w:spacing w:line="360" w:lineRule="auto"/>
        <w:jc w:val="center"/>
        <w:rPr>
          <w:rFonts w:ascii="仿宋" w:hAnsi="仿宋" w:eastAsia="仿宋" w:cs="仿宋"/>
          <w:sz w:val="24"/>
        </w:rPr>
      </w:pPr>
      <w:r>
        <w:rPr>
          <w:rFonts w:hint="eastAsia" w:ascii="仿宋" w:hAnsi="仿宋" w:eastAsia="仿宋" w:cs="仿宋"/>
          <w:sz w:val="24"/>
        </w:rPr>
        <w:t>陕西省中学实验仪器设备改造提升项目</w:t>
      </w:r>
      <w:bookmarkStart w:id="0" w:name="_GoBack"/>
      <w:bookmarkEnd w:id="0"/>
    </w:p>
    <w:p w14:paraId="71BE1D89">
      <w:pPr>
        <w:kinsoku w:val="0"/>
        <w:spacing w:line="360" w:lineRule="auto"/>
        <w:jc w:val="center"/>
        <w:rPr>
          <w:rFonts w:ascii="仿宋" w:hAnsi="仿宋" w:eastAsia="仿宋" w:cs="仿宋"/>
          <w:sz w:val="24"/>
        </w:rPr>
      </w:pPr>
      <w:r>
        <w:rPr>
          <w:rFonts w:hint="eastAsia" w:ascii="仿宋" w:hAnsi="仿宋" w:eastAsia="仿宋" w:cs="仿宋"/>
          <w:sz w:val="24"/>
        </w:rPr>
        <w:t>采购合同</w:t>
      </w:r>
    </w:p>
    <w:p w14:paraId="71BE1D8A">
      <w:pPr>
        <w:kinsoku w:val="0"/>
        <w:spacing w:line="360" w:lineRule="auto"/>
        <w:ind w:firstLine="600" w:firstLineChars="250"/>
        <w:rPr>
          <w:rFonts w:ascii="仿宋" w:hAnsi="仿宋" w:eastAsia="仿宋" w:cs="仿宋"/>
          <w:sz w:val="24"/>
        </w:rPr>
      </w:pPr>
    </w:p>
    <w:p w14:paraId="71BE1D8B">
      <w:pPr>
        <w:kinsoku w:val="0"/>
        <w:spacing w:line="360" w:lineRule="auto"/>
        <w:ind w:firstLine="600" w:firstLineChars="250"/>
        <w:rPr>
          <w:rFonts w:ascii="仿宋" w:hAnsi="仿宋" w:eastAsia="仿宋" w:cs="仿宋"/>
          <w:sz w:val="24"/>
        </w:rPr>
      </w:pPr>
      <w:r>
        <w:rPr>
          <w:rFonts w:hint="eastAsia" w:ascii="仿宋" w:hAnsi="仿宋" w:eastAsia="仿宋" w:cs="仿宋"/>
          <w:sz w:val="24"/>
        </w:rPr>
        <w:t>甲方：陕西省教育厅</w:t>
      </w:r>
    </w:p>
    <w:p w14:paraId="71BE1D8C">
      <w:pPr>
        <w:kinsoku w:val="0"/>
        <w:spacing w:line="360" w:lineRule="auto"/>
        <w:ind w:firstLine="600" w:firstLineChars="250"/>
        <w:rPr>
          <w:rFonts w:ascii="仿宋" w:hAnsi="仿宋" w:eastAsia="仿宋" w:cs="仿宋"/>
          <w:sz w:val="24"/>
        </w:rPr>
      </w:pPr>
      <w:r>
        <w:rPr>
          <w:rFonts w:hint="eastAsia" w:ascii="仿宋" w:hAnsi="仿宋" w:eastAsia="仿宋" w:cs="仿宋"/>
          <w:sz w:val="24"/>
        </w:rPr>
        <w:t>乙方：</w:t>
      </w:r>
    </w:p>
    <w:p w14:paraId="71BE1D8D">
      <w:pPr>
        <w:kinsoku w:val="0"/>
        <w:spacing w:line="360" w:lineRule="auto"/>
        <w:ind w:firstLine="600" w:firstLineChars="250"/>
        <w:rPr>
          <w:rFonts w:ascii="仿宋" w:hAnsi="仿宋" w:eastAsia="仿宋" w:cs="仿宋"/>
          <w:sz w:val="24"/>
        </w:rPr>
      </w:pPr>
      <w:r>
        <w:rPr>
          <w:rFonts w:hint="eastAsia" w:ascii="仿宋" w:hAnsi="仿宋" w:eastAsia="仿宋" w:cs="仿宋"/>
          <w:sz w:val="24"/>
        </w:rPr>
        <w:t>根据</w:t>
      </w:r>
      <w:r>
        <w:rPr>
          <w:rFonts w:hint="eastAsia" w:ascii="仿宋" w:hAnsi="仿宋" w:eastAsia="仿宋" w:cs="仿宋"/>
          <w:sz w:val="24"/>
          <w:lang w:val="zh-CN"/>
        </w:rPr>
        <w:t>《中华人民共和国</w:t>
      </w:r>
      <w:r>
        <w:rPr>
          <w:rFonts w:hint="eastAsia" w:ascii="仿宋" w:hAnsi="仿宋" w:eastAsia="仿宋" w:cs="仿宋"/>
          <w:sz w:val="24"/>
        </w:rPr>
        <w:t>民法典</w:t>
      </w:r>
      <w:r>
        <w:rPr>
          <w:rFonts w:hint="eastAsia" w:ascii="仿宋" w:hAnsi="仿宋" w:eastAsia="仿宋" w:cs="仿宋"/>
          <w:sz w:val="24"/>
          <w:lang w:val="zh-CN"/>
        </w:rPr>
        <w:t>》《中华人民共和国政府采购法》</w:t>
      </w:r>
      <w:r>
        <w:rPr>
          <w:rFonts w:hint="eastAsia" w:ascii="仿宋" w:hAnsi="仿宋" w:eastAsia="仿宋" w:cs="仿宋"/>
          <w:sz w:val="24"/>
        </w:rPr>
        <w:t>等法律法规，甲方通过公开招标，选定乙方为中标单位。甲、乙双方在平等基础上协商一致，达成如下合同条款:</w:t>
      </w:r>
    </w:p>
    <w:p w14:paraId="71BE1D8E">
      <w:pPr>
        <w:kinsoku w:val="0"/>
        <w:spacing w:line="360" w:lineRule="auto"/>
        <w:ind w:firstLine="600" w:firstLineChars="250"/>
        <w:rPr>
          <w:rFonts w:ascii="仿宋" w:hAnsi="仿宋" w:eastAsia="仿宋" w:cs="仿宋"/>
          <w:sz w:val="24"/>
        </w:rPr>
      </w:pPr>
      <w:r>
        <w:rPr>
          <w:rFonts w:hint="eastAsia" w:ascii="仿宋" w:hAnsi="仿宋" w:eastAsia="仿宋" w:cs="仿宋"/>
          <w:sz w:val="24"/>
        </w:rPr>
        <w:t>一、</w:t>
      </w:r>
      <w:r>
        <w:rPr>
          <w:rFonts w:hint="eastAsia" w:ascii="仿宋" w:hAnsi="仿宋" w:eastAsia="仿宋" w:cs="仿宋"/>
          <w:b/>
          <w:sz w:val="24"/>
        </w:rPr>
        <w:t>合同内容    项目编号/包号：</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1475"/>
        <w:gridCol w:w="1147"/>
        <w:gridCol w:w="1147"/>
        <w:gridCol w:w="818"/>
        <w:gridCol w:w="818"/>
        <w:gridCol w:w="818"/>
        <w:gridCol w:w="813"/>
        <w:gridCol w:w="768"/>
      </w:tblGrid>
      <w:tr w14:paraId="71BE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19" w:type="pct"/>
            <w:vAlign w:val="center"/>
          </w:tcPr>
          <w:p w14:paraId="71BE1D8F">
            <w:pPr>
              <w:spacing w:line="360" w:lineRule="auto"/>
              <w:jc w:val="center"/>
              <w:rPr>
                <w:rFonts w:ascii="仿宋" w:hAnsi="仿宋" w:eastAsia="仿宋" w:cs="仿宋"/>
                <w:b/>
              </w:rPr>
            </w:pPr>
            <w:r>
              <w:rPr>
                <w:rFonts w:hint="eastAsia" w:ascii="仿宋" w:hAnsi="仿宋" w:eastAsia="仿宋" w:cs="仿宋"/>
                <w:b/>
                <w:sz w:val="24"/>
              </w:rPr>
              <w:t>序号</w:t>
            </w:r>
          </w:p>
        </w:tc>
        <w:tc>
          <w:tcPr>
            <w:tcW w:w="865" w:type="pct"/>
            <w:vAlign w:val="center"/>
          </w:tcPr>
          <w:p w14:paraId="71BE1D90">
            <w:pPr>
              <w:spacing w:line="360" w:lineRule="auto"/>
              <w:jc w:val="center"/>
              <w:rPr>
                <w:rFonts w:ascii="仿宋" w:hAnsi="仿宋" w:eastAsia="仿宋" w:cs="仿宋"/>
                <w:b/>
              </w:rPr>
            </w:pPr>
            <w:r>
              <w:rPr>
                <w:rFonts w:hint="eastAsia" w:ascii="仿宋" w:hAnsi="仿宋" w:eastAsia="仿宋" w:cs="仿宋"/>
                <w:b/>
                <w:sz w:val="24"/>
              </w:rPr>
              <w:t>产品名称</w:t>
            </w:r>
          </w:p>
        </w:tc>
        <w:tc>
          <w:tcPr>
            <w:tcW w:w="673" w:type="pct"/>
            <w:vAlign w:val="center"/>
          </w:tcPr>
          <w:p w14:paraId="1C0BB940">
            <w:pPr>
              <w:spacing w:line="360" w:lineRule="auto"/>
              <w:jc w:val="center"/>
              <w:rPr>
                <w:rFonts w:hint="eastAsia" w:ascii="仿宋" w:hAnsi="仿宋" w:eastAsia="仿宋" w:cs="仿宋"/>
                <w:b/>
                <w:sz w:val="24"/>
                <w:lang w:val="en-US" w:eastAsia="zh-CN"/>
              </w:rPr>
            </w:pPr>
            <w:r>
              <w:rPr>
                <w:rFonts w:hint="eastAsia" w:ascii="仿宋" w:hAnsi="仿宋" w:eastAsia="仿宋" w:cs="仿宋"/>
                <w:b/>
                <w:sz w:val="24"/>
                <w:lang w:val="en-US" w:eastAsia="zh-CN"/>
              </w:rPr>
              <w:t>品牌</w:t>
            </w:r>
          </w:p>
        </w:tc>
        <w:tc>
          <w:tcPr>
            <w:tcW w:w="673" w:type="pct"/>
            <w:vAlign w:val="center"/>
          </w:tcPr>
          <w:p w14:paraId="71BE1D91">
            <w:pPr>
              <w:spacing w:line="360" w:lineRule="auto"/>
              <w:jc w:val="center"/>
              <w:rPr>
                <w:rFonts w:ascii="仿宋" w:hAnsi="仿宋" w:eastAsia="仿宋" w:cs="仿宋"/>
                <w:b/>
              </w:rPr>
            </w:pPr>
            <w:r>
              <w:rPr>
                <w:rFonts w:hint="eastAsia" w:ascii="仿宋" w:hAnsi="仿宋" w:eastAsia="仿宋" w:cs="仿宋"/>
                <w:b/>
                <w:sz w:val="24"/>
              </w:rPr>
              <w:t>型号</w:t>
            </w:r>
          </w:p>
        </w:tc>
        <w:tc>
          <w:tcPr>
            <w:tcW w:w="480" w:type="pct"/>
            <w:vAlign w:val="center"/>
          </w:tcPr>
          <w:p w14:paraId="71BE1D92">
            <w:pPr>
              <w:spacing w:line="360" w:lineRule="auto"/>
              <w:jc w:val="center"/>
              <w:rPr>
                <w:rFonts w:ascii="仿宋" w:hAnsi="仿宋" w:eastAsia="仿宋" w:cs="仿宋"/>
                <w:b/>
              </w:rPr>
            </w:pPr>
            <w:r>
              <w:rPr>
                <w:rFonts w:hint="eastAsia" w:ascii="仿宋" w:hAnsi="仿宋" w:eastAsia="仿宋" w:cs="仿宋"/>
                <w:b/>
                <w:sz w:val="24"/>
              </w:rPr>
              <w:t>产地</w:t>
            </w:r>
          </w:p>
        </w:tc>
        <w:tc>
          <w:tcPr>
            <w:tcW w:w="480" w:type="pct"/>
            <w:vAlign w:val="center"/>
          </w:tcPr>
          <w:p w14:paraId="71BE1D93">
            <w:pPr>
              <w:spacing w:line="360" w:lineRule="auto"/>
              <w:jc w:val="center"/>
              <w:rPr>
                <w:rFonts w:ascii="仿宋" w:hAnsi="仿宋" w:eastAsia="仿宋" w:cs="仿宋"/>
                <w:b/>
              </w:rPr>
            </w:pPr>
            <w:r>
              <w:rPr>
                <w:rFonts w:hint="eastAsia" w:ascii="仿宋" w:hAnsi="仿宋" w:eastAsia="仿宋" w:cs="仿宋"/>
                <w:b/>
                <w:sz w:val="24"/>
              </w:rPr>
              <w:t>数量</w:t>
            </w:r>
          </w:p>
        </w:tc>
        <w:tc>
          <w:tcPr>
            <w:tcW w:w="480" w:type="pct"/>
            <w:vAlign w:val="center"/>
          </w:tcPr>
          <w:p w14:paraId="71BE1D94">
            <w:pPr>
              <w:spacing w:line="360" w:lineRule="auto"/>
              <w:jc w:val="center"/>
              <w:rPr>
                <w:rFonts w:ascii="仿宋" w:hAnsi="仿宋" w:eastAsia="仿宋" w:cs="仿宋"/>
                <w:b/>
              </w:rPr>
            </w:pPr>
            <w:r>
              <w:rPr>
                <w:rFonts w:hint="eastAsia" w:ascii="仿宋" w:hAnsi="仿宋" w:eastAsia="仿宋" w:cs="仿宋"/>
                <w:b/>
                <w:sz w:val="24"/>
              </w:rPr>
              <w:t>单价</w:t>
            </w:r>
          </w:p>
        </w:tc>
        <w:tc>
          <w:tcPr>
            <w:tcW w:w="477" w:type="pct"/>
            <w:vAlign w:val="center"/>
          </w:tcPr>
          <w:p w14:paraId="71BE1D95">
            <w:pPr>
              <w:spacing w:line="360" w:lineRule="auto"/>
              <w:jc w:val="center"/>
              <w:rPr>
                <w:rFonts w:ascii="仿宋" w:hAnsi="仿宋" w:eastAsia="仿宋" w:cs="仿宋"/>
                <w:b/>
              </w:rPr>
            </w:pPr>
            <w:r>
              <w:rPr>
                <w:rFonts w:hint="eastAsia" w:ascii="仿宋" w:hAnsi="仿宋" w:eastAsia="仿宋" w:cs="仿宋"/>
                <w:b/>
                <w:sz w:val="24"/>
              </w:rPr>
              <w:t>总价</w:t>
            </w:r>
          </w:p>
        </w:tc>
        <w:tc>
          <w:tcPr>
            <w:tcW w:w="447" w:type="pct"/>
            <w:vAlign w:val="center"/>
          </w:tcPr>
          <w:p w14:paraId="71BE1D96">
            <w:pPr>
              <w:spacing w:line="360" w:lineRule="auto"/>
              <w:jc w:val="center"/>
              <w:rPr>
                <w:rFonts w:ascii="仿宋" w:hAnsi="仿宋" w:eastAsia="仿宋" w:cs="仿宋"/>
                <w:b/>
              </w:rPr>
            </w:pPr>
            <w:r>
              <w:rPr>
                <w:rFonts w:hint="eastAsia" w:ascii="仿宋" w:hAnsi="仿宋" w:eastAsia="仿宋" w:cs="仿宋"/>
                <w:b/>
                <w:sz w:val="24"/>
              </w:rPr>
              <w:t>备注</w:t>
            </w:r>
          </w:p>
        </w:tc>
      </w:tr>
      <w:tr w14:paraId="71BE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419" w:type="pct"/>
            <w:vAlign w:val="center"/>
          </w:tcPr>
          <w:p w14:paraId="71BE1D98">
            <w:pPr>
              <w:adjustRightInd w:val="0"/>
              <w:snapToGrid w:val="0"/>
              <w:spacing w:line="360" w:lineRule="auto"/>
              <w:jc w:val="center"/>
              <w:rPr>
                <w:rFonts w:ascii="仿宋" w:hAnsi="仿宋" w:eastAsia="仿宋" w:cs="仿宋"/>
              </w:rPr>
            </w:pPr>
            <w:r>
              <w:rPr>
                <w:rFonts w:hint="eastAsia" w:ascii="仿宋" w:hAnsi="仿宋" w:eastAsia="仿宋" w:cs="仿宋"/>
                <w:sz w:val="24"/>
              </w:rPr>
              <w:t>1</w:t>
            </w:r>
          </w:p>
        </w:tc>
        <w:tc>
          <w:tcPr>
            <w:tcW w:w="865" w:type="pct"/>
            <w:vAlign w:val="center"/>
          </w:tcPr>
          <w:p w14:paraId="71BE1D99">
            <w:pPr>
              <w:adjustRightInd w:val="0"/>
              <w:snapToGrid w:val="0"/>
              <w:spacing w:line="360" w:lineRule="auto"/>
              <w:jc w:val="center"/>
              <w:rPr>
                <w:rFonts w:ascii="仿宋" w:hAnsi="仿宋" w:eastAsia="仿宋" w:cs="仿宋"/>
              </w:rPr>
            </w:pPr>
          </w:p>
        </w:tc>
        <w:tc>
          <w:tcPr>
            <w:tcW w:w="673" w:type="pct"/>
            <w:vAlign w:val="center"/>
          </w:tcPr>
          <w:p w14:paraId="71BE1D9A">
            <w:pPr>
              <w:spacing w:line="360" w:lineRule="auto"/>
              <w:jc w:val="center"/>
              <w:rPr>
                <w:rFonts w:ascii="仿宋" w:hAnsi="仿宋" w:eastAsia="仿宋" w:cs="仿宋"/>
              </w:rPr>
            </w:pPr>
          </w:p>
        </w:tc>
        <w:tc>
          <w:tcPr>
            <w:tcW w:w="673" w:type="pct"/>
            <w:vAlign w:val="center"/>
          </w:tcPr>
          <w:p w14:paraId="52557F4E">
            <w:pPr>
              <w:spacing w:line="360" w:lineRule="auto"/>
              <w:jc w:val="center"/>
              <w:rPr>
                <w:rFonts w:ascii="仿宋" w:hAnsi="仿宋" w:eastAsia="仿宋" w:cs="仿宋"/>
              </w:rPr>
            </w:pPr>
          </w:p>
        </w:tc>
        <w:tc>
          <w:tcPr>
            <w:tcW w:w="480" w:type="pct"/>
            <w:vAlign w:val="center"/>
          </w:tcPr>
          <w:p w14:paraId="71BE1D9B">
            <w:pPr>
              <w:spacing w:line="360" w:lineRule="auto"/>
              <w:jc w:val="center"/>
              <w:rPr>
                <w:rFonts w:ascii="仿宋" w:hAnsi="仿宋" w:eastAsia="仿宋" w:cs="仿宋"/>
              </w:rPr>
            </w:pPr>
          </w:p>
        </w:tc>
        <w:tc>
          <w:tcPr>
            <w:tcW w:w="480" w:type="pct"/>
            <w:vAlign w:val="center"/>
          </w:tcPr>
          <w:p w14:paraId="71BE1D9C">
            <w:pPr>
              <w:adjustRightInd w:val="0"/>
              <w:snapToGrid w:val="0"/>
              <w:spacing w:line="360" w:lineRule="auto"/>
              <w:jc w:val="center"/>
              <w:rPr>
                <w:rFonts w:ascii="仿宋" w:hAnsi="仿宋" w:eastAsia="仿宋" w:cs="仿宋"/>
              </w:rPr>
            </w:pPr>
          </w:p>
        </w:tc>
        <w:tc>
          <w:tcPr>
            <w:tcW w:w="480" w:type="pct"/>
            <w:vAlign w:val="center"/>
          </w:tcPr>
          <w:p w14:paraId="71BE1D9D">
            <w:pPr>
              <w:autoSpaceDN w:val="0"/>
              <w:spacing w:line="360" w:lineRule="auto"/>
              <w:jc w:val="center"/>
              <w:textAlignment w:val="center"/>
              <w:rPr>
                <w:rFonts w:ascii="仿宋" w:hAnsi="仿宋" w:eastAsia="仿宋" w:cs="仿宋"/>
              </w:rPr>
            </w:pPr>
          </w:p>
        </w:tc>
        <w:tc>
          <w:tcPr>
            <w:tcW w:w="477" w:type="pct"/>
            <w:vAlign w:val="center"/>
          </w:tcPr>
          <w:p w14:paraId="71BE1D9E">
            <w:pPr>
              <w:autoSpaceDN w:val="0"/>
              <w:spacing w:line="360" w:lineRule="auto"/>
              <w:jc w:val="center"/>
              <w:textAlignment w:val="center"/>
              <w:rPr>
                <w:rFonts w:ascii="仿宋" w:hAnsi="仿宋" w:eastAsia="仿宋" w:cs="仿宋"/>
              </w:rPr>
            </w:pPr>
          </w:p>
        </w:tc>
        <w:tc>
          <w:tcPr>
            <w:tcW w:w="447" w:type="pct"/>
            <w:vAlign w:val="center"/>
          </w:tcPr>
          <w:p w14:paraId="71BE1D9F">
            <w:pPr>
              <w:autoSpaceDN w:val="0"/>
              <w:spacing w:line="360" w:lineRule="auto"/>
              <w:jc w:val="center"/>
              <w:textAlignment w:val="center"/>
              <w:rPr>
                <w:rFonts w:ascii="仿宋" w:hAnsi="仿宋" w:eastAsia="仿宋" w:cs="仿宋"/>
              </w:rPr>
            </w:pPr>
          </w:p>
        </w:tc>
      </w:tr>
      <w:tr w14:paraId="71B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419" w:type="pct"/>
            <w:vAlign w:val="center"/>
          </w:tcPr>
          <w:p w14:paraId="71BE1DA1">
            <w:pPr>
              <w:adjustRightInd w:val="0"/>
              <w:snapToGrid w:val="0"/>
              <w:spacing w:line="360" w:lineRule="auto"/>
              <w:jc w:val="center"/>
              <w:rPr>
                <w:rFonts w:ascii="仿宋" w:hAnsi="仿宋" w:eastAsia="仿宋" w:cs="仿宋"/>
              </w:rPr>
            </w:pPr>
          </w:p>
        </w:tc>
        <w:tc>
          <w:tcPr>
            <w:tcW w:w="865" w:type="pct"/>
            <w:vAlign w:val="center"/>
          </w:tcPr>
          <w:p w14:paraId="71BE1DA2">
            <w:pPr>
              <w:adjustRightInd w:val="0"/>
              <w:snapToGrid w:val="0"/>
              <w:spacing w:line="360" w:lineRule="auto"/>
              <w:jc w:val="center"/>
              <w:rPr>
                <w:rFonts w:ascii="仿宋" w:hAnsi="仿宋" w:eastAsia="仿宋" w:cs="仿宋"/>
              </w:rPr>
            </w:pPr>
          </w:p>
        </w:tc>
        <w:tc>
          <w:tcPr>
            <w:tcW w:w="673" w:type="pct"/>
            <w:vAlign w:val="center"/>
          </w:tcPr>
          <w:p w14:paraId="71BE1DA3">
            <w:pPr>
              <w:spacing w:line="360" w:lineRule="auto"/>
              <w:jc w:val="center"/>
              <w:rPr>
                <w:rFonts w:ascii="仿宋" w:hAnsi="仿宋" w:eastAsia="仿宋" w:cs="仿宋"/>
              </w:rPr>
            </w:pPr>
          </w:p>
        </w:tc>
        <w:tc>
          <w:tcPr>
            <w:tcW w:w="673" w:type="pct"/>
            <w:vAlign w:val="center"/>
          </w:tcPr>
          <w:p w14:paraId="6E28FE5A">
            <w:pPr>
              <w:spacing w:line="360" w:lineRule="auto"/>
              <w:jc w:val="center"/>
              <w:rPr>
                <w:rFonts w:ascii="仿宋" w:hAnsi="仿宋" w:eastAsia="仿宋" w:cs="仿宋"/>
              </w:rPr>
            </w:pPr>
          </w:p>
        </w:tc>
        <w:tc>
          <w:tcPr>
            <w:tcW w:w="480" w:type="pct"/>
            <w:vAlign w:val="center"/>
          </w:tcPr>
          <w:p w14:paraId="71BE1DA4">
            <w:pPr>
              <w:spacing w:line="360" w:lineRule="auto"/>
              <w:jc w:val="center"/>
              <w:rPr>
                <w:rFonts w:ascii="仿宋" w:hAnsi="仿宋" w:eastAsia="仿宋" w:cs="仿宋"/>
              </w:rPr>
            </w:pPr>
          </w:p>
        </w:tc>
        <w:tc>
          <w:tcPr>
            <w:tcW w:w="480" w:type="pct"/>
            <w:vAlign w:val="center"/>
          </w:tcPr>
          <w:p w14:paraId="71BE1DA5">
            <w:pPr>
              <w:adjustRightInd w:val="0"/>
              <w:snapToGrid w:val="0"/>
              <w:spacing w:line="360" w:lineRule="auto"/>
              <w:jc w:val="center"/>
              <w:rPr>
                <w:rFonts w:ascii="仿宋" w:hAnsi="仿宋" w:eastAsia="仿宋" w:cs="仿宋"/>
              </w:rPr>
            </w:pPr>
          </w:p>
        </w:tc>
        <w:tc>
          <w:tcPr>
            <w:tcW w:w="480" w:type="pct"/>
            <w:vAlign w:val="center"/>
          </w:tcPr>
          <w:p w14:paraId="71BE1DA6">
            <w:pPr>
              <w:autoSpaceDN w:val="0"/>
              <w:spacing w:line="360" w:lineRule="auto"/>
              <w:jc w:val="center"/>
              <w:textAlignment w:val="center"/>
              <w:rPr>
                <w:rFonts w:ascii="仿宋" w:hAnsi="仿宋" w:eastAsia="仿宋" w:cs="仿宋"/>
              </w:rPr>
            </w:pPr>
          </w:p>
        </w:tc>
        <w:tc>
          <w:tcPr>
            <w:tcW w:w="477" w:type="pct"/>
            <w:vAlign w:val="center"/>
          </w:tcPr>
          <w:p w14:paraId="71BE1DA7">
            <w:pPr>
              <w:autoSpaceDN w:val="0"/>
              <w:spacing w:line="360" w:lineRule="auto"/>
              <w:jc w:val="center"/>
              <w:textAlignment w:val="center"/>
              <w:rPr>
                <w:rFonts w:ascii="仿宋" w:hAnsi="仿宋" w:eastAsia="仿宋" w:cs="仿宋"/>
              </w:rPr>
            </w:pPr>
          </w:p>
        </w:tc>
        <w:tc>
          <w:tcPr>
            <w:tcW w:w="447" w:type="pct"/>
            <w:vAlign w:val="center"/>
          </w:tcPr>
          <w:p w14:paraId="71BE1DA8">
            <w:pPr>
              <w:autoSpaceDN w:val="0"/>
              <w:spacing w:line="360" w:lineRule="auto"/>
              <w:jc w:val="center"/>
              <w:textAlignment w:val="center"/>
              <w:rPr>
                <w:rFonts w:ascii="仿宋" w:hAnsi="仿宋" w:eastAsia="仿宋" w:cs="仿宋"/>
              </w:rPr>
            </w:pPr>
          </w:p>
        </w:tc>
      </w:tr>
      <w:tr w14:paraId="71BE1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419" w:type="pct"/>
            <w:vAlign w:val="center"/>
          </w:tcPr>
          <w:p w14:paraId="71BE1DAA">
            <w:pPr>
              <w:adjustRightInd w:val="0"/>
              <w:snapToGrid w:val="0"/>
              <w:spacing w:line="360" w:lineRule="auto"/>
              <w:jc w:val="center"/>
              <w:rPr>
                <w:rFonts w:ascii="仿宋" w:hAnsi="仿宋" w:eastAsia="仿宋" w:cs="仿宋"/>
              </w:rPr>
            </w:pPr>
          </w:p>
        </w:tc>
        <w:tc>
          <w:tcPr>
            <w:tcW w:w="865" w:type="pct"/>
            <w:vAlign w:val="center"/>
          </w:tcPr>
          <w:p w14:paraId="71BE1DAB">
            <w:pPr>
              <w:adjustRightInd w:val="0"/>
              <w:snapToGrid w:val="0"/>
              <w:spacing w:line="360" w:lineRule="auto"/>
              <w:jc w:val="center"/>
              <w:rPr>
                <w:rFonts w:ascii="仿宋" w:hAnsi="仿宋" w:eastAsia="仿宋" w:cs="仿宋"/>
              </w:rPr>
            </w:pPr>
          </w:p>
        </w:tc>
        <w:tc>
          <w:tcPr>
            <w:tcW w:w="673" w:type="pct"/>
            <w:vAlign w:val="center"/>
          </w:tcPr>
          <w:p w14:paraId="71BE1DAC">
            <w:pPr>
              <w:spacing w:line="360" w:lineRule="auto"/>
              <w:jc w:val="center"/>
              <w:rPr>
                <w:rFonts w:ascii="仿宋" w:hAnsi="仿宋" w:eastAsia="仿宋" w:cs="仿宋"/>
              </w:rPr>
            </w:pPr>
          </w:p>
        </w:tc>
        <w:tc>
          <w:tcPr>
            <w:tcW w:w="673" w:type="pct"/>
            <w:vAlign w:val="center"/>
          </w:tcPr>
          <w:p w14:paraId="02558162">
            <w:pPr>
              <w:spacing w:line="360" w:lineRule="auto"/>
              <w:jc w:val="center"/>
              <w:rPr>
                <w:rFonts w:ascii="仿宋" w:hAnsi="仿宋" w:eastAsia="仿宋" w:cs="仿宋"/>
              </w:rPr>
            </w:pPr>
          </w:p>
        </w:tc>
        <w:tc>
          <w:tcPr>
            <w:tcW w:w="480" w:type="pct"/>
            <w:vAlign w:val="center"/>
          </w:tcPr>
          <w:p w14:paraId="71BE1DAD">
            <w:pPr>
              <w:spacing w:line="360" w:lineRule="auto"/>
              <w:jc w:val="center"/>
              <w:rPr>
                <w:rFonts w:ascii="仿宋" w:hAnsi="仿宋" w:eastAsia="仿宋" w:cs="仿宋"/>
              </w:rPr>
            </w:pPr>
          </w:p>
        </w:tc>
        <w:tc>
          <w:tcPr>
            <w:tcW w:w="480" w:type="pct"/>
            <w:vAlign w:val="center"/>
          </w:tcPr>
          <w:p w14:paraId="71BE1DAE">
            <w:pPr>
              <w:adjustRightInd w:val="0"/>
              <w:snapToGrid w:val="0"/>
              <w:spacing w:line="360" w:lineRule="auto"/>
              <w:jc w:val="center"/>
              <w:rPr>
                <w:rFonts w:ascii="仿宋" w:hAnsi="仿宋" w:eastAsia="仿宋" w:cs="仿宋"/>
              </w:rPr>
            </w:pPr>
          </w:p>
        </w:tc>
        <w:tc>
          <w:tcPr>
            <w:tcW w:w="480" w:type="pct"/>
            <w:vAlign w:val="center"/>
          </w:tcPr>
          <w:p w14:paraId="71BE1DAF">
            <w:pPr>
              <w:autoSpaceDN w:val="0"/>
              <w:spacing w:line="360" w:lineRule="auto"/>
              <w:jc w:val="center"/>
              <w:textAlignment w:val="center"/>
              <w:rPr>
                <w:rFonts w:ascii="仿宋" w:hAnsi="仿宋" w:eastAsia="仿宋" w:cs="仿宋"/>
              </w:rPr>
            </w:pPr>
          </w:p>
        </w:tc>
        <w:tc>
          <w:tcPr>
            <w:tcW w:w="477" w:type="pct"/>
            <w:vAlign w:val="center"/>
          </w:tcPr>
          <w:p w14:paraId="71BE1DB0">
            <w:pPr>
              <w:autoSpaceDN w:val="0"/>
              <w:spacing w:line="360" w:lineRule="auto"/>
              <w:jc w:val="center"/>
              <w:textAlignment w:val="center"/>
              <w:rPr>
                <w:rFonts w:ascii="仿宋" w:hAnsi="仿宋" w:eastAsia="仿宋" w:cs="仿宋"/>
              </w:rPr>
            </w:pPr>
          </w:p>
        </w:tc>
        <w:tc>
          <w:tcPr>
            <w:tcW w:w="447" w:type="pct"/>
            <w:vAlign w:val="center"/>
          </w:tcPr>
          <w:p w14:paraId="71BE1DB1">
            <w:pPr>
              <w:autoSpaceDN w:val="0"/>
              <w:spacing w:line="360" w:lineRule="auto"/>
              <w:jc w:val="center"/>
              <w:textAlignment w:val="center"/>
              <w:rPr>
                <w:rFonts w:ascii="仿宋" w:hAnsi="仿宋" w:eastAsia="仿宋" w:cs="仿宋"/>
              </w:rPr>
            </w:pPr>
          </w:p>
        </w:tc>
      </w:tr>
      <w:tr w14:paraId="71BE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285" w:type="pct"/>
            <w:gridSpan w:val="2"/>
            <w:vAlign w:val="center"/>
          </w:tcPr>
          <w:p w14:paraId="71BE1DB3">
            <w:pPr>
              <w:adjustRightInd w:val="0"/>
              <w:snapToGrid w:val="0"/>
              <w:spacing w:line="360" w:lineRule="auto"/>
              <w:jc w:val="center"/>
              <w:rPr>
                <w:rFonts w:ascii="仿宋" w:hAnsi="仿宋" w:eastAsia="仿宋" w:cs="仿宋"/>
                <w:b/>
              </w:rPr>
            </w:pPr>
            <w:r>
              <w:rPr>
                <w:rFonts w:hint="eastAsia" w:ascii="仿宋" w:hAnsi="仿宋" w:eastAsia="仿宋" w:cs="仿宋"/>
                <w:b/>
                <w:sz w:val="24"/>
              </w:rPr>
              <w:t>总计（人民币/元）</w:t>
            </w:r>
          </w:p>
        </w:tc>
        <w:tc>
          <w:tcPr>
            <w:tcW w:w="673" w:type="pct"/>
            <w:vAlign w:val="center"/>
          </w:tcPr>
          <w:p w14:paraId="2048FD51">
            <w:pPr>
              <w:adjustRightInd w:val="0"/>
              <w:snapToGrid w:val="0"/>
              <w:spacing w:line="360" w:lineRule="auto"/>
              <w:rPr>
                <w:rFonts w:ascii="Calibri" w:hAnsi="Calibri" w:eastAsia="仿宋" w:cs="Calibri"/>
                <w:b/>
                <w:sz w:val="24"/>
              </w:rPr>
            </w:pPr>
          </w:p>
        </w:tc>
        <w:tc>
          <w:tcPr>
            <w:tcW w:w="3041" w:type="pct"/>
            <w:gridSpan w:val="6"/>
            <w:vAlign w:val="center"/>
          </w:tcPr>
          <w:p w14:paraId="71BE1DB4">
            <w:pPr>
              <w:adjustRightInd w:val="0"/>
              <w:snapToGrid w:val="0"/>
              <w:spacing w:line="360" w:lineRule="auto"/>
              <w:rPr>
                <w:rFonts w:ascii="仿宋" w:hAnsi="仿宋" w:eastAsia="仿宋" w:cs="仿宋"/>
                <w:b/>
              </w:rPr>
            </w:pPr>
            <w:r>
              <w:rPr>
                <w:rFonts w:ascii="Calibri" w:hAnsi="Calibri" w:eastAsia="仿宋" w:cs="Calibri"/>
                <w:b/>
                <w:sz w:val="24"/>
              </w:rPr>
              <w:t>¥</w:t>
            </w:r>
            <w:r>
              <w:rPr>
                <w:rFonts w:hint="eastAsia" w:ascii="仿宋" w:hAnsi="仿宋" w:eastAsia="仿宋" w:cs="仿宋"/>
                <w:b/>
                <w:sz w:val="24"/>
              </w:rPr>
              <w:t>：       （大写）</w:t>
            </w:r>
          </w:p>
        </w:tc>
      </w:tr>
    </w:tbl>
    <w:p w14:paraId="71BE1DB6">
      <w:pPr>
        <w:kinsoku w:val="0"/>
        <w:spacing w:line="360" w:lineRule="auto"/>
        <w:ind w:firstLine="600" w:firstLineChars="250"/>
        <w:rPr>
          <w:rFonts w:ascii="仿宋" w:hAnsi="仿宋" w:eastAsia="仿宋" w:cs="仿宋"/>
          <w:sz w:val="24"/>
        </w:rPr>
      </w:pPr>
      <w:r>
        <w:rPr>
          <w:rFonts w:hint="eastAsia" w:ascii="仿宋" w:hAnsi="仿宋" w:eastAsia="仿宋" w:cs="仿宋"/>
          <w:sz w:val="24"/>
        </w:rPr>
        <w:t>（参数较多可以附件说明）</w:t>
      </w:r>
    </w:p>
    <w:p w14:paraId="71BE1DB7">
      <w:pPr>
        <w:kinsoku w:val="0"/>
        <w:spacing w:line="360" w:lineRule="auto"/>
        <w:ind w:firstLine="600" w:firstLineChars="250"/>
        <w:rPr>
          <w:rFonts w:ascii="仿宋" w:hAnsi="仿宋" w:eastAsia="仿宋" w:cs="仿宋"/>
          <w:sz w:val="24"/>
        </w:rPr>
      </w:pPr>
      <w:r>
        <w:rPr>
          <w:rFonts w:hint="eastAsia" w:ascii="仿宋" w:hAnsi="仿宋" w:eastAsia="仿宋" w:cs="仿宋"/>
          <w:sz w:val="24"/>
        </w:rPr>
        <w:t>乙方负责按以上确定的产品规格、型号及配套内容进行供货，及时运到甲方指定交货地点安装调试，确保所有产品达到最佳运行状态，负责对甲方操作、维护人员进行培训，指导操作、使用和维修保养，做好售后服务工作。</w:t>
      </w:r>
    </w:p>
    <w:p w14:paraId="71BE1DB8">
      <w:pPr>
        <w:spacing w:line="360" w:lineRule="auto"/>
        <w:ind w:firstLine="482" w:firstLineChars="200"/>
        <w:rPr>
          <w:rFonts w:ascii="仿宋" w:hAnsi="仿宋" w:eastAsia="仿宋" w:cs="仿宋"/>
          <w:b/>
          <w:sz w:val="24"/>
        </w:rPr>
      </w:pPr>
      <w:r>
        <w:rPr>
          <w:rFonts w:hint="eastAsia" w:ascii="仿宋" w:hAnsi="仿宋" w:eastAsia="仿宋" w:cs="仿宋"/>
          <w:b/>
          <w:sz w:val="24"/>
        </w:rPr>
        <w:t>二、合同价格</w:t>
      </w:r>
    </w:p>
    <w:p w14:paraId="71BE1DB9">
      <w:pPr>
        <w:kinsoku w:val="0"/>
        <w:spacing w:line="360" w:lineRule="auto"/>
        <w:ind w:firstLine="480" w:firstLineChars="200"/>
        <w:rPr>
          <w:rFonts w:ascii="仿宋" w:hAnsi="仿宋" w:eastAsia="仿宋" w:cs="仿宋"/>
          <w:sz w:val="24"/>
        </w:rPr>
      </w:pPr>
      <w:r>
        <w:rPr>
          <w:rFonts w:hint="eastAsia" w:ascii="仿宋" w:hAnsi="仿宋" w:eastAsia="仿宋" w:cs="仿宋"/>
          <w:sz w:val="24"/>
        </w:rPr>
        <w:t>合同总价：人民币大写：</w:t>
      </w:r>
      <w:r>
        <w:rPr>
          <w:rFonts w:hint="eastAsia" w:ascii="仿宋" w:hAnsi="仿宋" w:eastAsia="仿宋" w:cs="仿宋"/>
          <w:b/>
          <w:sz w:val="24"/>
          <w:u w:val="single"/>
        </w:rPr>
        <w:t>（         ）</w:t>
      </w:r>
      <w:r>
        <w:rPr>
          <w:rFonts w:hint="eastAsia" w:ascii="仿宋" w:hAnsi="仿宋" w:eastAsia="仿宋" w:cs="仿宋"/>
          <w:b/>
          <w:sz w:val="24"/>
        </w:rPr>
        <w:t>元整；</w:t>
      </w:r>
      <w:r>
        <w:rPr>
          <w:rFonts w:ascii="Calibri" w:hAnsi="Calibri" w:eastAsia="仿宋" w:cs="Calibri"/>
          <w:b/>
          <w:sz w:val="24"/>
        </w:rPr>
        <w:t>¥</w:t>
      </w:r>
      <w:r>
        <w:rPr>
          <w:rFonts w:hint="eastAsia" w:ascii="仿宋" w:hAnsi="仿宋" w:eastAsia="仿宋" w:cs="仿宋"/>
          <w:b/>
          <w:sz w:val="24"/>
          <w:u w:val="single"/>
        </w:rPr>
        <w:t>（         ）</w:t>
      </w:r>
      <w:r>
        <w:rPr>
          <w:rFonts w:hint="eastAsia" w:ascii="仿宋" w:hAnsi="仿宋" w:eastAsia="仿宋" w:cs="仿宋"/>
          <w:sz w:val="24"/>
        </w:rPr>
        <w:t>元。</w:t>
      </w:r>
    </w:p>
    <w:p w14:paraId="71BE1DBA">
      <w:pPr>
        <w:spacing w:line="360" w:lineRule="auto"/>
        <w:ind w:firstLine="480" w:firstLineChars="200"/>
        <w:rPr>
          <w:rFonts w:ascii="仿宋" w:hAnsi="仿宋" w:eastAsia="仿宋" w:cs="仿宋"/>
          <w:sz w:val="24"/>
        </w:rPr>
      </w:pPr>
      <w:r>
        <w:rPr>
          <w:rFonts w:hint="eastAsia" w:ascii="仿宋" w:hAnsi="仿宋" w:eastAsia="仿宋" w:cs="仿宋"/>
          <w:sz w:val="24"/>
        </w:rPr>
        <w:t>合同总价包括：产品的供应费及所发生的运输费、杂费（含保险）、商检费、搬运费、安装调试费、培训费、售后服务、税费等，包括从产品供应地点到交货地点所包含的一切费用。合同总价不可变更，不受市场价变化的影响，不受实际数量变化的影响。</w:t>
      </w:r>
    </w:p>
    <w:p w14:paraId="71BE1DBB">
      <w:pPr>
        <w:numPr>
          <w:ilvl w:val="0"/>
          <w:numId w:val="1"/>
        </w:numPr>
        <w:spacing w:line="360" w:lineRule="auto"/>
        <w:ind w:firstLine="482" w:firstLineChars="200"/>
        <w:rPr>
          <w:rFonts w:ascii="仿宋" w:hAnsi="仿宋" w:eastAsia="仿宋" w:cs="仿宋"/>
          <w:b/>
          <w:sz w:val="24"/>
        </w:rPr>
      </w:pPr>
      <w:r>
        <w:rPr>
          <w:rFonts w:hint="eastAsia" w:ascii="仿宋" w:hAnsi="仿宋" w:eastAsia="仿宋" w:cs="仿宋"/>
          <w:b/>
          <w:sz w:val="24"/>
        </w:rPr>
        <w:t>款项支付</w:t>
      </w:r>
    </w:p>
    <w:p w14:paraId="71BE1DBC">
      <w:pPr>
        <w:spacing w:line="360" w:lineRule="auto"/>
        <w:ind w:firstLine="480" w:firstLineChars="200"/>
        <w:rPr>
          <w:rFonts w:ascii="仿宋" w:hAnsi="仿宋" w:eastAsia="仿宋" w:cs="仿宋"/>
          <w:sz w:val="24"/>
          <w:szCs w:val="32"/>
        </w:rPr>
      </w:pPr>
      <w:r>
        <w:rPr>
          <w:rFonts w:hint="eastAsia" w:ascii="仿宋" w:hAnsi="仿宋" w:eastAsia="仿宋" w:cs="仿宋"/>
          <w:sz w:val="24"/>
          <w:szCs w:val="32"/>
        </w:rPr>
        <w:t>签订合同，在样板学校供货安装调试完毕，经甲方及样板学校共同书面验收确认合格后，乙方出具全额发票，甲方支付合同总金额的40%；其他项目学校到货及甲方检验完毕并出具验收合格证明后，甲方支付合同金额的30%；项目整体验收合格后支付余款。</w:t>
      </w:r>
    </w:p>
    <w:p w14:paraId="71BE1DBD">
      <w:pPr>
        <w:spacing w:line="360" w:lineRule="auto"/>
        <w:ind w:firstLine="480" w:firstLineChars="200"/>
        <w:rPr>
          <w:rFonts w:ascii="仿宋" w:hAnsi="仿宋" w:eastAsia="仿宋" w:cs="仿宋"/>
          <w:bCs/>
          <w:sz w:val="24"/>
        </w:rPr>
      </w:pPr>
      <w:r>
        <w:rPr>
          <w:rFonts w:hint="eastAsia" w:ascii="仿宋" w:hAnsi="仿宋" w:eastAsia="仿宋" w:cs="仿宋"/>
          <w:bCs/>
          <w:sz w:val="24"/>
        </w:rPr>
        <w:t>甲方付款前，乙方应当提供合法、足额且符合税务机关及甲方要求的增值税普通发票，甲方确认发票无误后支付货款。否则，甲方有权拒绝付款且不承担任何责任。</w:t>
      </w:r>
    </w:p>
    <w:p w14:paraId="71BE1DBE">
      <w:pPr>
        <w:spacing w:line="360" w:lineRule="auto"/>
        <w:ind w:firstLine="482" w:firstLineChars="200"/>
        <w:rPr>
          <w:rFonts w:ascii="仿宋" w:hAnsi="仿宋" w:eastAsia="仿宋" w:cs="仿宋"/>
          <w:b/>
          <w:sz w:val="24"/>
        </w:rPr>
      </w:pPr>
      <w:r>
        <w:rPr>
          <w:rFonts w:hint="eastAsia" w:ascii="仿宋" w:hAnsi="仿宋" w:eastAsia="仿宋" w:cs="仿宋"/>
          <w:b/>
          <w:sz w:val="24"/>
        </w:rPr>
        <w:t>四、交付条件</w:t>
      </w:r>
    </w:p>
    <w:p w14:paraId="71BE1DBF">
      <w:pPr>
        <w:kinsoku w:val="0"/>
        <w:spacing w:line="360" w:lineRule="auto"/>
        <w:ind w:firstLine="600" w:firstLineChars="250"/>
        <w:rPr>
          <w:rFonts w:ascii="仿宋" w:hAnsi="仿宋" w:eastAsia="仿宋" w:cs="仿宋"/>
          <w:sz w:val="24"/>
          <w:highlight w:val="lightGray"/>
        </w:rPr>
      </w:pPr>
      <w:r>
        <w:rPr>
          <w:rFonts w:hint="eastAsia" w:ascii="仿宋" w:hAnsi="仿宋" w:eastAsia="仿宋" w:cs="仿宋"/>
          <w:sz w:val="24"/>
        </w:rPr>
        <w:t>1、项目实施地点：采购人指定地点</w:t>
      </w:r>
    </w:p>
    <w:p w14:paraId="71BE1DC0">
      <w:pPr>
        <w:kinsoku w:val="0"/>
        <w:spacing w:line="360" w:lineRule="auto"/>
        <w:ind w:firstLine="600" w:firstLineChars="250"/>
        <w:rPr>
          <w:rFonts w:ascii="仿宋" w:hAnsi="仿宋" w:eastAsia="仿宋" w:cs="仿宋"/>
          <w:sz w:val="24"/>
        </w:rPr>
      </w:pPr>
      <w:r>
        <w:rPr>
          <w:rFonts w:hint="eastAsia" w:ascii="仿宋" w:hAnsi="仿宋" w:eastAsia="仿宋" w:cs="仿宋"/>
          <w:sz w:val="24"/>
        </w:rPr>
        <w:t>2、交付时间：自合同签订之日90个日历日内完成所有项目学校供货，并安装调试完毕。</w:t>
      </w:r>
    </w:p>
    <w:p w14:paraId="71BE1DC1">
      <w:pPr>
        <w:kinsoku w:val="0"/>
        <w:spacing w:line="360" w:lineRule="auto"/>
        <w:ind w:firstLine="600" w:firstLineChars="250"/>
        <w:rPr>
          <w:rFonts w:ascii="仿宋" w:hAnsi="仿宋" w:eastAsia="仿宋" w:cs="仿宋"/>
          <w:sz w:val="24"/>
        </w:rPr>
      </w:pPr>
      <w:r>
        <w:rPr>
          <w:rFonts w:hint="eastAsia" w:ascii="仿宋" w:hAnsi="仿宋" w:eastAsia="仿宋" w:cs="仿宋"/>
          <w:sz w:val="24"/>
        </w:rPr>
        <w:t>3、样板校：乙方在签订完合同后30天内完成样板校的供货和安装调试。样板校由甲方指定的</w:t>
      </w:r>
      <w:r>
        <w:rPr>
          <w:rFonts w:hint="eastAsia" w:ascii="仿宋" w:hAnsi="仿宋" w:eastAsia="仿宋" w:cs="仿宋"/>
          <w:sz w:val="24"/>
          <w:lang w:val="en-US" w:eastAsia="zh-CN"/>
        </w:rPr>
        <w:t>初中、高中各</w:t>
      </w:r>
      <w:r>
        <w:rPr>
          <w:rFonts w:hint="eastAsia" w:ascii="仿宋" w:hAnsi="仿宋" w:eastAsia="仿宋" w:cs="仿宋"/>
          <w:sz w:val="24"/>
        </w:rPr>
        <w:t>一所学校。</w:t>
      </w:r>
    </w:p>
    <w:p w14:paraId="71BE1DC2">
      <w:pPr>
        <w:spacing w:line="360" w:lineRule="auto"/>
        <w:ind w:firstLine="482" w:firstLineChars="200"/>
        <w:rPr>
          <w:rFonts w:ascii="仿宋" w:hAnsi="仿宋" w:eastAsia="仿宋" w:cs="仿宋"/>
          <w:b/>
          <w:sz w:val="24"/>
        </w:rPr>
      </w:pPr>
      <w:r>
        <w:rPr>
          <w:rFonts w:hint="eastAsia" w:ascii="仿宋" w:hAnsi="仿宋" w:eastAsia="仿宋" w:cs="仿宋"/>
          <w:b/>
          <w:sz w:val="24"/>
        </w:rPr>
        <w:t>五、运输方式</w:t>
      </w:r>
    </w:p>
    <w:p w14:paraId="71BE1DC3">
      <w:pPr>
        <w:spacing w:line="360" w:lineRule="auto"/>
        <w:ind w:firstLine="480" w:firstLineChars="200"/>
        <w:rPr>
          <w:rFonts w:ascii="仿宋" w:hAnsi="仿宋" w:eastAsia="仿宋" w:cs="仿宋"/>
          <w:b/>
          <w:sz w:val="24"/>
        </w:rPr>
      </w:pPr>
      <w:r>
        <w:rPr>
          <w:rFonts w:hint="eastAsia" w:ascii="仿宋" w:hAnsi="仿宋" w:eastAsia="仿宋" w:cs="仿宋"/>
          <w:sz w:val="24"/>
        </w:rPr>
        <w:t>根据产品特性，由乙方在保证产品质量的前提下，自行选择运输及包装方式，发生的一切费用全部由乙方承担。货物经甲方书面验收前毁损、灭失、盗抢等风险均由乙方自行承担。</w:t>
      </w:r>
    </w:p>
    <w:p w14:paraId="71BE1DC4">
      <w:pPr>
        <w:spacing w:line="360" w:lineRule="auto"/>
        <w:ind w:firstLine="482" w:firstLineChars="200"/>
        <w:rPr>
          <w:rFonts w:ascii="仿宋" w:hAnsi="仿宋" w:eastAsia="仿宋" w:cs="仿宋"/>
          <w:b/>
          <w:sz w:val="24"/>
        </w:rPr>
      </w:pPr>
      <w:r>
        <w:rPr>
          <w:rFonts w:hint="eastAsia" w:ascii="仿宋" w:hAnsi="仿宋" w:eastAsia="仿宋" w:cs="仿宋"/>
          <w:b/>
          <w:sz w:val="24"/>
        </w:rPr>
        <w:t>六、履约保证金</w:t>
      </w:r>
    </w:p>
    <w:p w14:paraId="71BE1DC5">
      <w:pPr>
        <w:spacing w:line="360" w:lineRule="auto"/>
        <w:ind w:firstLine="480" w:firstLineChars="200"/>
        <w:rPr>
          <w:rFonts w:ascii="仿宋" w:hAnsi="仿宋" w:eastAsia="仿宋" w:cs="仿宋"/>
          <w:sz w:val="24"/>
        </w:rPr>
      </w:pPr>
      <w:r>
        <w:rPr>
          <w:rFonts w:hint="eastAsia" w:ascii="仿宋" w:hAnsi="仿宋" w:eastAsia="仿宋" w:cs="仿宋"/>
          <w:sz w:val="24"/>
        </w:rPr>
        <w:t>乙方须在合同签订（3）日前向甲方一次性支付中标金额10%的履约保证金，待整个项目全部货物验收合格后（30）日内，乙方无合同约定的违约责任，甲方无息退还履约保证金。履约保证金形式：支票、汇票、本票或甲方认可的金融机构、担保机构出具的见索即付保函等非现金形式。</w:t>
      </w:r>
    </w:p>
    <w:p w14:paraId="71BE1DC6">
      <w:pPr>
        <w:spacing w:line="360" w:lineRule="auto"/>
        <w:ind w:firstLine="482" w:firstLineChars="200"/>
        <w:rPr>
          <w:rFonts w:ascii="仿宋" w:hAnsi="仿宋" w:eastAsia="仿宋" w:cs="仿宋"/>
          <w:sz w:val="24"/>
        </w:rPr>
      </w:pPr>
      <w:r>
        <w:rPr>
          <w:rFonts w:hint="eastAsia" w:ascii="仿宋" w:hAnsi="仿宋" w:eastAsia="仿宋" w:cs="仿宋"/>
          <w:b/>
          <w:sz w:val="24"/>
        </w:rPr>
        <w:t>七、质量保证</w:t>
      </w:r>
    </w:p>
    <w:p w14:paraId="71BE1DC7">
      <w:pPr>
        <w:spacing w:line="360" w:lineRule="auto"/>
        <w:ind w:firstLine="480" w:firstLineChars="200"/>
        <w:rPr>
          <w:rFonts w:ascii="仿宋" w:hAnsi="仿宋" w:eastAsia="仿宋" w:cs="仿宋"/>
          <w:sz w:val="24"/>
        </w:rPr>
      </w:pPr>
      <w:r>
        <w:rPr>
          <w:rFonts w:hint="eastAsia" w:ascii="仿宋" w:hAnsi="仿宋" w:eastAsia="仿宋" w:cs="仿宋"/>
          <w:sz w:val="24"/>
        </w:rPr>
        <w:t>1、产品的质量保证期为:</w:t>
      </w:r>
      <w:r>
        <w:rPr>
          <w:rFonts w:hint="eastAsia" w:ascii="仿宋" w:hAnsi="仿宋" w:eastAsia="仿宋" w:cs="仿宋"/>
          <w:sz w:val="24"/>
          <w:u w:val="single"/>
        </w:rPr>
        <w:t xml:space="preserve">    </w:t>
      </w:r>
      <w:r>
        <w:rPr>
          <w:rFonts w:hint="eastAsia" w:ascii="仿宋" w:hAnsi="仿宋" w:eastAsia="仿宋" w:cs="仿宋"/>
          <w:sz w:val="24"/>
        </w:rPr>
        <w:t>年，自全部供货安装完成并经甲方验收合格之日起计算。</w:t>
      </w:r>
    </w:p>
    <w:p w14:paraId="71BE1DC8">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2、乙方保证所提供的产品质量可靠，进货渠道正常，配置合理，技术性能完全满足招标文件要求，产品必须为原厂正品，符合国家、行业现行有效的质量标准及环保、安全等强制性规定；</w:t>
      </w:r>
    </w:p>
    <w:p w14:paraId="71BE1DC9">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若产品所用原材料或加工工艺造成的质量和内外观缺陷问题，由乙方负责在甲方指定的期限内解决并承担因此给甲方造成的全部费用。（乙方保证货物是全新的、未曾使用过的、以优质工艺及材料制造，并保证所供产品的完整性，本合同产品为成套供货，合同总价中已包括满足产品完整运行的附件，备件，配套件等，产品质量应符合国标标准和本合同附件的要求,乙方应随货提供产品检验报告。）</w:t>
      </w:r>
    </w:p>
    <w:p w14:paraId="71BE1DCA">
      <w:pPr>
        <w:adjustRightInd w:val="0"/>
        <w:snapToGrid w:val="0"/>
        <w:spacing w:line="360" w:lineRule="auto"/>
        <w:ind w:firstLine="600" w:firstLineChars="250"/>
        <w:rPr>
          <w:rFonts w:ascii="仿宋" w:hAnsi="仿宋" w:eastAsia="仿宋" w:cs="仿宋"/>
          <w:sz w:val="24"/>
        </w:rPr>
      </w:pPr>
      <w:r>
        <w:rPr>
          <w:rFonts w:hint="eastAsia" w:ascii="仿宋" w:hAnsi="仿宋" w:eastAsia="仿宋" w:cs="仿宋"/>
          <w:sz w:val="24"/>
        </w:rPr>
        <w:t>4、产品的质保期为产品月质保期内若发生产品质量问题，乙方应立即免费解决；超过质保期的，按照厂家承诺进行。</w:t>
      </w:r>
    </w:p>
    <w:p w14:paraId="71BE1DCB">
      <w:pPr>
        <w:adjustRightInd w:val="0"/>
        <w:snapToGrid w:val="0"/>
        <w:spacing w:line="360" w:lineRule="auto"/>
        <w:ind w:firstLine="600" w:firstLineChars="250"/>
        <w:rPr>
          <w:rFonts w:ascii="仿宋" w:hAnsi="仿宋" w:eastAsia="仿宋" w:cs="仿宋"/>
          <w:bCs/>
          <w:sz w:val="24"/>
        </w:rPr>
      </w:pPr>
      <w:r>
        <w:rPr>
          <w:rFonts w:hint="eastAsia" w:ascii="仿宋" w:hAnsi="仿宋" w:eastAsia="仿宋" w:cs="仿宋"/>
          <w:sz w:val="24"/>
        </w:rPr>
        <w:t>5、产品</w:t>
      </w:r>
      <w:r>
        <w:rPr>
          <w:rFonts w:hint="eastAsia" w:ascii="仿宋" w:hAnsi="仿宋" w:eastAsia="仿宋" w:cs="仿宋"/>
          <w:bCs/>
          <w:sz w:val="24"/>
        </w:rPr>
        <w:t>性能未达到技术要求的，乙方在甲方限定期间内进行整改；整改仍达不到要求的，甲方有权解除合同，保留依法索赔的权利。</w:t>
      </w:r>
    </w:p>
    <w:p w14:paraId="71BE1DCC">
      <w:pPr>
        <w:adjustRightInd w:val="0"/>
        <w:snapToGrid w:val="0"/>
        <w:spacing w:line="360" w:lineRule="auto"/>
        <w:ind w:firstLine="600" w:firstLineChars="250"/>
        <w:rPr>
          <w:rFonts w:ascii="仿宋" w:hAnsi="仿宋" w:eastAsia="仿宋" w:cs="仿宋"/>
          <w:sz w:val="24"/>
        </w:rPr>
      </w:pPr>
      <w:r>
        <w:rPr>
          <w:rFonts w:hint="eastAsia" w:ascii="仿宋" w:hAnsi="仿宋" w:eastAsia="仿宋" w:cs="仿宋"/>
          <w:bCs/>
          <w:sz w:val="24"/>
        </w:rPr>
        <w:t>6、</w:t>
      </w:r>
      <w:r>
        <w:rPr>
          <w:rFonts w:hint="eastAsia" w:ascii="仿宋" w:hAnsi="仿宋" w:eastAsia="仿宋" w:cs="仿宋"/>
          <w:sz w:val="24"/>
        </w:rPr>
        <w:t>知识产权：即乙方应保证甲方在使用中标（成交）货物时，不承担任何涉及知识产权法律诉讼的责任。</w:t>
      </w:r>
    </w:p>
    <w:p w14:paraId="71BE1DCD">
      <w:pPr>
        <w:adjustRightInd w:val="0"/>
        <w:snapToGrid w:val="0"/>
        <w:spacing w:line="360" w:lineRule="auto"/>
        <w:ind w:firstLine="600" w:firstLineChars="250"/>
        <w:rPr>
          <w:rFonts w:ascii="仿宋" w:hAnsi="仿宋" w:eastAsia="仿宋" w:cs="仿宋"/>
          <w:sz w:val="24"/>
        </w:rPr>
      </w:pPr>
      <w:r>
        <w:rPr>
          <w:rFonts w:hint="eastAsia" w:ascii="仿宋" w:hAnsi="仿宋" w:eastAsia="仿宋" w:cs="仿宋"/>
          <w:sz w:val="24"/>
        </w:rPr>
        <w:t>7、乙方保证，其根据本合同提供的产品及服务没有任何权利瑕疵，没有侵犯任何第三方权利，甲方在使用该产品或服务的任何一部分时，免受第三方提出的侵犯其知识产权及其他权利的起诉。如果任何人对甲方使用该产品或服务主张权利，由乙方负责处理一切纠纷及相关事宜。由此给甲方造成的损失，由乙方承担，其承担范围包括但不限于：损失赔偿费、诉讼费、律师费、保全费、保全保险费、公告费、执行费、差旅费等费用</w:t>
      </w:r>
    </w:p>
    <w:p w14:paraId="71BE1DCE">
      <w:pPr>
        <w:adjustRightInd w:val="0"/>
        <w:snapToGrid w:val="0"/>
        <w:spacing w:line="360" w:lineRule="auto"/>
        <w:ind w:firstLine="359" w:firstLineChars="149"/>
        <w:rPr>
          <w:rFonts w:ascii="仿宋" w:hAnsi="仿宋" w:eastAsia="仿宋" w:cs="仿宋"/>
          <w:b/>
          <w:sz w:val="24"/>
        </w:rPr>
      </w:pPr>
      <w:r>
        <w:rPr>
          <w:rFonts w:hint="eastAsia" w:ascii="仿宋" w:hAnsi="仿宋" w:eastAsia="仿宋" w:cs="仿宋"/>
          <w:b/>
          <w:sz w:val="24"/>
        </w:rPr>
        <w:t>八、安装、调试及技术服务</w:t>
      </w:r>
    </w:p>
    <w:p w14:paraId="71BE1DCF">
      <w:pPr>
        <w:spacing w:line="360" w:lineRule="auto"/>
        <w:ind w:firstLine="496" w:firstLineChars="207"/>
        <w:rPr>
          <w:rFonts w:ascii="仿宋" w:hAnsi="仿宋" w:eastAsia="仿宋" w:cs="仿宋"/>
          <w:sz w:val="24"/>
        </w:rPr>
      </w:pPr>
      <w:r>
        <w:rPr>
          <w:rFonts w:hint="eastAsia" w:ascii="仿宋" w:hAnsi="仿宋" w:eastAsia="仿宋" w:cs="仿宋"/>
          <w:sz w:val="24"/>
        </w:rPr>
        <w:t>1、技术资料包括：出厂检测报告、产品使用说明书、合格证等其它相关资料。</w:t>
      </w:r>
    </w:p>
    <w:p w14:paraId="71BE1DD0">
      <w:pPr>
        <w:spacing w:line="360" w:lineRule="auto"/>
        <w:ind w:firstLine="360" w:firstLineChars="150"/>
        <w:rPr>
          <w:rFonts w:ascii="仿宋" w:hAnsi="仿宋" w:eastAsia="仿宋" w:cs="仿宋"/>
          <w:sz w:val="24"/>
        </w:rPr>
      </w:pPr>
      <w:r>
        <w:rPr>
          <w:rFonts w:hint="eastAsia" w:ascii="仿宋" w:hAnsi="仿宋" w:eastAsia="仿宋" w:cs="仿宋"/>
          <w:sz w:val="24"/>
        </w:rPr>
        <w:t>2、在质保期内（保修起始日为货到验收合格之日起），乙方在接到用户对所购产品进行维修的要求后，48小时内到用户现场进行维修服务，全部费用由乙方支付，若需将产品送回生产厂，由乙方支付维修产品所需的往返费用。若乙方未按约定时间响应或维修，甲方有权自行委托第三方维修，费用由乙方承担，甲方可直接从履约保证金或应付货款中扣除。</w:t>
      </w:r>
    </w:p>
    <w:p w14:paraId="71BE1DD1">
      <w:pPr>
        <w:spacing w:line="360" w:lineRule="auto"/>
        <w:ind w:firstLine="360" w:firstLineChars="150"/>
        <w:rPr>
          <w:rFonts w:ascii="仿宋" w:hAnsi="仿宋" w:eastAsia="仿宋" w:cs="仿宋"/>
          <w:sz w:val="24"/>
        </w:rPr>
      </w:pPr>
      <w:r>
        <w:rPr>
          <w:rFonts w:hint="eastAsia" w:ascii="仿宋" w:hAnsi="仿宋" w:eastAsia="仿宋" w:cs="仿宋"/>
          <w:sz w:val="24"/>
        </w:rPr>
        <w:t>3、乙方保证产品完全按招标要求提供，若达不到要求，乙方须及时跟甲方沟通协商更换产品，并按照再次验收合格时间相应延长该产品保修期。</w:t>
      </w:r>
    </w:p>
    <w:p w14:paraId="71BE1DD2">
      <w:pPr>
        <w:spacing w:line="360" w:lineRule="auto"/>
        <w:ind w:firstLine="480" w:firstLineChars="200"/>
        <w:rPr>
          <w:rFonts w:ascii="仿宋" w:hAnsi="仿宋" w:eastAsia="仿宋" w:cs="仿宋"/>
          <w:sz w:val="24"/>
        </w:rPr>
      </w:pPr>
      <w:r>
        <w:rPr>
          <w:rFonts w:hint="eastAsia" w:ascii="仿宋" w:hAnsi="仿宋" w:eastAsia="仿宋" w:cs="仿宋"/>
          <w:sz w:val="24"/>
        </w:rPr>
        <w:t>4、技术培训</w:t>
      </w:r>
    </w:p>
    <w:p w14:paraId="71BE1DD3">
      <w:pPr>
        <w:spacing w:line="360" w:lineRule="auto"/>
        <w:ind w:firstLine="480" w:firstLineChars="200"/>
        <w:rPr>
          <w:rFonts w:ascii="仿宋" w:hAnsi="仿宋" w:eastAsia="仿宋" w:cs="仿宋"/>
          <w:sz w:val="24"/>
        </w:rPr>
      </w:pPr>
      <w:r>
        <w:rPr>
          <w:rFonts w:hint="eastAsia" w:ascii="仿宋" w:hAnsi="仿宋" w:eastAsia="仿宋" w:cs="仿宋"/>
          <w:sz w:val="24"/>
        </w:rPr>
        <w:t>1）内容：包括产品原理、使用操作、保养维修技术等，使受训人员达到独立使用、熟练操作的程度。</w:t>
      </w:r>
    </w:p>
    <w:p w14:paraId="71BE1DD4">
      <w:pPr>
        <w:spacing w:line="360" w:lineRule="auto"/>
        <w:ind w:firstLine="480" w:firstLineChars="200"/>
        <w:rPr>
          <w:rFonts w:ascii="仿宋" w:hAnsi="仿宋" w:eastAsia="仿宋" w:cs="仿宋"/>
          <w:sz w:val="24"/>
        </w:rPr>
      </w:pPr>
      <w:r>
        <w:rPr>
          <w:rFonts w:hint="eastAsia" w:ascii="仿宋" w:hAnsi="仿宋" w:eastAsia="仿宋" w:cs="仿宋"/>
          <w:sz w:val="24"/>
        </w:rPr>
        <w:t>2）培训准备：每台仪器培训主要操作人员2-3人。</w:t>
      </w:r>
    </w:p>
    <w:p w14:paraId="71BE1DD5">
      <w:pPr>
        <w:spacing w:line="360" w:lineRule="auto"/>
        <w:ind w:firstLine="480" w:firstLineChars="200"/>
        <w:rPr>
          <w:rFonts w:ascii="仿宋" w:hAnsi="仿宋" w:eastAsia="仿宋" w:cs="仿宋"/>
          <w:sz w:val="24"/>
        </w:rPr>
      </w:pPr>
      <w:r>
        <w:rPr>
          <w:rFonts w:hint="eastAsia" w:ascii="仿宋" w:hAnsi="仿宋" w:eastAsia="仿宋" w:cs="仿宋"/>
          <w:sz w:val="24"/>
        </w:rPr>
        <w:t>3）地点：仪器安装地点</w:t>
      </w:r>
    </w:p>
    <w:p w14:paraId="71BE1DD6">
      <w:pPr>
        <w:spacing w:line="360" w:lineRule="auto"/>
        <w:ind w:firstLine="480" w:firstLineChars="200"/>
        <w:rPr>
          <w:rFonts w:ascii="仿宋" w:hAnsi="仿宋" w:eastAsia="仿宋" w:cs="仿宋"/>
          <w:sz w:val="24"/>
        </w:rPr>
      </w:pPr>
      <w:r>
        <w:rPr>
          <w:rFonts w:hint="eastAsia" w:ascii="仿宋" w:hAnsi="仿宋" w:eastAsia="仿宋" w:cs="仿宋"/>
          <w:sz w:val="24"/>
        </w:rPr>
        <w:t>4）时间：在收到甲方通知后一周内安排。</w:t>
      </w:r>
    </w:p>
    <w:p w14:paraId="71BE1DD7">
      <w:pPr>
        <w:spacing w:line="360" w:lineRule="auto"/>
        <w:ind w:firstLine="480" w:firstLineChars="200"/>
        <w:rPr>
          <w:rFonts w:ascii="仿宋" w:hAnsi="仿宋" w:eastAsia="仿宋" w:cs="仿宋"/>
          <w:sz w:val="24"/>
        </w:rPr>
      </w:pPr>
      <w:r>
        <w:rPr>
          <w:rFonts w:hint="eastAsia" w:ascii="仿宋" w:hAnsi="仿宋" w:eastAsia="仿宋" w:cs="仿宋"/>
          <w:sz w:val="24"/>
        </w:rPr>
        <w:t>5、服务承诺：按投标文件中的服务承诺执行。</w:t>
      </w:r>
    </w:p>
    <w:p w14:paraId="71BE1DD8">
      <w:pPr>
        <w:spacing w:line="360" w:lineRule="auto"/>
        <w:ind w:firstLine="480" w:firstLineChars="200"/>
        <w:rPr>
          <w:rFonts w:ascii="仿宋" w:hAnsi="仿宋" w:eastAsia="仿宋" w:cs="仿宋"/>
          <w:sz w:val="24"/>
        </w:rPr>
      </w:pPr>
      <w:r>
        <w:rPr>
          <w:rFonts w:hint="eastAsia" w:ascii="仿宋" w:hAnsi="仿宋" w:eastAsia="仿宋" w:cs="仿宋"/>
          <w:sz w:val="24"/>
        </w:rPr>
        <w:t>6、安装调试过程中出现的安全责任问题由乙方全权负责，乙方应承担由此给甲方及第三方造成的全部赔偿责任。</w:t>
      </w:r>
    </w:p>
    <w:p w14:paraId="71BE1DD9">
      <w:pPr>
        <w:adjustRightInd w:val="0"/>
        <w:snapToGrid w:val="0"/>
        <w:spacing w:line="360" w:lineRule="auto"/>
        <w:ind w:firstLine="359" w:firstLineChars="149"/>
        <w:rPr>
          <w:rFonts w:ascii="仿宋" w:hAnsi="仿宋" w:eastAsia="仿宋" w:cs="仿宋"/>
          <w:b/>
          <w:sz w:val="24"/>
        </w:rPr>
      </w:pPr>
      <w:r>
        <w:rPr>
          <w:rFonts w:hint="eastAsia" w:ascii="仿宋" w:hAnsi="仿宋" w:eastAsia="仿宋" w:cs="仿宋"/>
          <w:b/>
          <w:sz w:val="24"/>
        </w:rPr>
        <w:t>九、违约责任：</w:t>
      </w:r>
    </w:p>
    <w:p w14:paraId="71BE1DDA">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1、按《中华人民共和国民法典》中合同部分的相关条款执行。</w:t>
      </w:r>
    </w:p>
    <w:p w14:paraId="71BE1DDB">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2、乙方未按合同要求提供产品或产品质量不能满足技术要求，甲方有权终止合同，乙方应承担甲方合同总价款的10％的违约金并赔偿因此给甲方造成的全部损失。</w:t>
      </w:r>
    </w:p>
    <w:p w14:paraId="71BE1DD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3、乙方逾期供货，每延迟1日，应按合同总价款的1‰向甲方支付违约金，因不可抗力或经甲方同意除外，但违约金总额不超过合同总价的10％。如合同总价5％以上的货物迟达10日的，甲方有权解除本合同。</w:t>
      </w:r>
    </w:p>
    <w:p w14:paraId="71BE1DD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4、乙方不得进行债权转让。</w:t>
      </w:r>
    </w:p>
    <w:p w14:paraId="71BE1DDE">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5、质量保证期内因产品质量问题，乙方未按合同规定及时进行维修、更换，甲方可自行组织人员进行维修、更换，因此造成的相关责任、费用由乙方承担，同时质量保证期重新起算。</w:t>
      </w:r>
    </w:p>
    <w:p w14:paraId="71BE1DD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6、乙方对材料不按招标文件要求，擅自更换，除恢复原招标产品外，应承担更换部分价款10%的违约金。</w:t>
      </w:r>
    </w:p>
    <w:p w14:paraId="71BE1DE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7、乙方供应产品存在知识产权瑕疵或所有权瑕疵，导致第三方向甲方索赔的，因此产生的赔偿款、行政罚款、处理纠纷发生的律师费、诉讼费、保全费等各项费用由乙方承担。</w:t>
      </w:r>
    </w:p>
    <w:p w14:paraId="71BE1DE1">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8、本合同签订后，乙方不得将本合同项下义务转交或委托任何第三方完成，一经发现，甲方有权解除合同。乙方应当按照合同总价款的20%向甲方支付违约金。</w:t>
      </w:r>
    </w:p>
    <w:p w14:paraId="71BE1DE3">
      <w:pPr>
        <w:adjustRightInd w:val="0"/>
        <w:snapToGrid w:val="0"/>
        <w:spacing w:line="360" w:lineRule="auto"/>
        <w:ind w:firstLine="359" w:firstLineChars="149"/>
        <w:rPr>
          <w:rFonts w:ascii="仿宋" w:hAnsi="仿宋" w:eastAsia="仿宋" w:cs="仿宋"/>
          <w:b/>
          <w:sz w:val="24"/>
        </w:rPr>
      </w:pPr>
      <w:r>
        <w:rPr>
          <w:rFonts w:hint="eastAsia" w:ascii="仿宋" w:hAnsi="仿宋" w:eastAsia="仿宋" w:cs="仿宋"/>
          <w:b/>
          <w:sz w:val="24"/>
        </w:rPr>
        <w:t>十、产品验收</w:t>
      </w:r>
    </w:p>
    <w:p w14:paraId="71BE1DE4">
      <w:pPr>
        <w:spacing w:line="360" w:lineRule="auto"/>
        <w:ind w:firstLine="480" w:firstLineChars="200"/>
        <w:rPr>
          <w:rFonts w:ascii="仿宋" w:hAnsi="仿宋" w:eastAsia="仿宋" w:cs="仿宋"/>
          <w:sz w:val="24"/>
        </w:rPr>
      </w:pPr>
      <w:r>
        <w:rPr>
          <w:rFonts w:hint="eastAsia" w:ascii="仿宋" w:hAnsi="仿宋" w:eastAsia="仿宋" w:cs="仿宋"/>
          <w:sz w:val="24"/>
        </w:rPr>
        <w:t>1、产品到货后，乙方负责安装调试，达到正常运行条件后书面通知甲方验收并附完整的验收资料。</w:t>
      </w:r>
    </w:p>
    <w:p w14:paraId="71BE1DE5">
      <w:pPr>
        <w:spacing w:line="360" w:lineRule="auto"/>
        <w:ind w:firstLine="480" w:firstLineChars="200"/>
        <w:rPr>
          <w:rFonts w:ascii="仿宋" w:hAnsi="仿宋" w:eastAsia="仿宋" w:cs="仿宋"/>
          <w:sz w:val="24"/>
        </w:rPr>
      </w:pPr>
      <w:r>
        <w:rPr>
          <w:rFonts w:hint="eastAsia" w:ascii="仿宋" w:hAnsi="仿宋" w:eastAsia="仿宋" w:cs="仿宋"/>
          <w:sz w:val="24"/>
        </w:rPr>
        <w:t>2、安装完成后应提供详细的安装报告，并详细记录各种指示的实测数据。</w:t>
      </w:r>
    </w:p>
    <w:p w14:paraId="71BE1DE6">
      <w:pPr>
        <w:spacing w:line="360" w:lineRule="auto"/>
        <w:ind w:firstLine="480" w:firstLineChars="200"/>
        <w:rPr>
          <w:rFonts w:ascii="仿宋" w:hAnsi="仿宋" w:eastAsia="仿宋" w:cs="仿宋"/>
          <w:sz w:val="24"/>
        </w:rPr>
      </w:pPr>
      <w:r>
        <w:rPr>
          <w:rFonts w:hint="eastAsia" w:ascii="仿宋" w:hAnsi="仿宋" w:eastAsia="仿宋" w:cs="仿宋"/>
          <w:sz w:val="24"/>
        </w:rPr>
        <w:t>3、提供完整的操作手册和安装、调试、维修手册；提供制造厂家的检验测试报告或产品出厂检测报告。</w:t>
      </w:r>
    </w:p>
    <w:p w14:paraId="71BE1DE7">
      <w:pPr>
        <w:spacing w:line="360" w:lineRule="auto"/>
        <w:ind w:firstLine="480" w:firstLineChars="200"/>
        <w:rPr>
          <w:rFonts w:ascii="仿宋" w:hAnsi="仿宋" w:eastAsia="仿宋" w:cs="仿宋"/>
          <w:sz w:val="24"/>
        </w:rPr>
      </w:pPr>
      <w:r>
        <w:rPr>
          <w:rFonts w:hint="eastAsia" w:ascii="仿宋" w:hAnsi="仿宋" w:eastAsia="仿宋" w:cs="仿宋"/>
          <w:sz w:val="24"/>
        </w:rPr>
        <w:t>4、乙方完成工作内容后向甲方和使用人提出验收申请，经使用人验收、甲方审核通过视为验收合格。按照采购合同的约定和现行国家标准、行业标准以及企业标准对每一项技术、服务、安全标准的履约情况进行确认。</w:t>
      </w:r>
    </w:p>
    <w:p w14:paraId="71BE1DE8">
      <w:pPr>
        <w:spacing w:line="360" w:lineRule="auto"/>
        <w:ind w:firstLine="480" w:firstLineChars="200"/>
        <w:rPr>
          <w:rFonts w:ascii="仿宋" w:hAnsi="仿宋" w:eastAsia="仿宋" w:cs="仿宋"/>
          <w:sz w:val="24"/>
        </w:rPr>
      </w:pPr>
      <w:r>
        <w:rPr>
          <w:rFonts w:hint="eastAsia" w:ascii="仿宋" w:hAnsi="仿宋" w:eastAsia="仿宋" w:cs="仿宋"/>
          <w:sz w:val="24"/>
        </w:rPr>
        <w:t>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w:t>
      </w:r>
    </w:p>
    <w:p w14:paraId="71BE1DE9">
      <w:pPr>
        <w:spacing w:line="360" w:lineRule="auto"/>
        <w:ind w:firstLine="480" w:firstLineChars="200"/>
        <w:rPr>
          <w:rFonts w:ascii="仿宋" w:hAnsi="仿宋" w:eastAsia="仿宋" w:cs="仿宋"/>
          <w:sz w:val="24"/>
        </w:rPr>
      </w:pPr>
      <w:r>
        <w:rPr>
          <w:rFonts w:hint="eastAsia" w:ascii="仿宋" w:hAnsi="仿宋" w:eastAsia="仿宋" w:cs="仿宋"/>
          <w:sz w:val="24"/>
        </w:rPr>
        <w:t>6、验收合格后，甲乙双方共同填写产品验收单，乙方向甲方提交产品所包含的所有资料，以便甲方日后管理和维护。</w:t>
      </w:r>
    </w:p>
    <w:p w14:paraId="71BE1DEA">
      <w:pPr>
        <w:spacing w:line="360" w:lineRule="auto"/>
        <w:ind w:firstLine="480" w:firstLineChars="200"/>
        <w:rPr>
          <w:rFonts w:ascii="仿宋" w:hAnsi="仿宋" w:eastAsia="仿宋" w:cs="仿宋"/>
          <w:sz w:val="24"/>
        </w:rPr>
      </w:pPr>
      <w:r>
        <w:rPr>
          <w:rFonts w:hint="eastAsia" w:ascii="仿宋" w:hAnsi="仿宋" w:eastAsia="仿宋" w:cs="仿宋"/>
          <w:sz w:val="24"/>
        </w:rPr>
        <w:t>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14:paraId="71BE1DEB">
      <w:pPr>
        <w:adjustRightInd w:val="0"/>
        <w:snapToGrid w:val="0"/>
        <w:spacing w:line="360" w:lineRule="auto"/>
        <w:ind w:firstLine="359" w:firstLineChars="149"/>
        <w:rPr>
          <w:rFonts w:ascii="仿宋" w:hAnsi="仿宋" w:eastAsia="仿宋" w:cs="仿宋"/>
          <w:b/>
          <w:sz w:val="24"/>
        </w:rPr>
      </w:pPr>
      <w:r>
        <w:rPr>
          <w:rFonts w:hint="eastAsia" w:ascii="仿宋" w:hAnsi="仿宋" w:eastAsia="仿宋" w:cs="仿宋"/>
          <w:b/>
          <w:sz w:val="24"/>
        </w:rPr>
        <w:t>十一、合同争议的解决</w:t>
      </w:r>
    </w:p>
    <w:p w14:paraId="71BE1DEC">
      <w:pPr>
        <w:tabs>
          <w:tab w:val="left" w:pos="5355"/>
        </w:tabs>
        <w:spacing w:line="360" w:lineRule="auto"/>
        <w:ind w:firstLine="480" w:firstLineChars="200"/>
        <w:rPr>
          <w:rFonts w:ascii="仿宋" w:hAnsi="仿宋" w:eastAsia="仿宋" w:cs="仿宋"/>
          <w:b/>
          <w:sz w:val="24"/>
        </w:rPr>
      </w:pPr>
      <w:r>
        <w:rPr>
          <w:rFonts w:hint="eastAsia" w:ascii="仿宋" w:hAnsi="仿宋" w:eastAsia="仿宋" w:cs="仿宋"/>
          <w:sz w:val="24"/>
        </w:rPr>
        <w:t>合同一经签订，不得随意变更、中止或终止。对确需变更、调整或者中止、终止合同的，应按规定履行相应的手续。</w:t>
      </w:r>
    </w:p>
    <w:p w14:paraId="71BE1DED">
      <w:pPr>
        <w:tabs>
          <w:tab w:val="left" w:pos="5355"/>
        </w:tabs>
        <w:spacing w:line="360" w:lineRule="auto"/>
        <w:ind w:firstLine="480" w:firstLineChars="200"/>
        <w:rPr>
          <w:rFonts w:ascii="仿宋" w:hAnsi="仿宋" w:eastAsia="仿宋" w:cs="仿宋"/>
          <w:sz w:val="24"/>
        </w:rPr>
      </w:pPr>
      <w:r>
        <w:rPr>
          <w:rFonts w:hint="eastAsia" w:ascii="仿宋" w:hAnsi="仿宋" w:eastAsia="仿宋" w:cs="仿宋"/>
          <w:sz w:val="24"/>
        </w:rPr>
        <w:t>合同执行中发生争议的，甲、乙双方应协商解决，协商达不成一致时，可向甲方所在地人民法院提请诉讼。</w:t>
      </w:r>
    </w:p>
    <w:p w14:paraId="71BE1DEE">
      <w:pPr>
        <w:tabs>
          <w:tab w:val="left" w:pos="980"/>
        </w:tabs>
        <w:spacing w:line="360" w:lineRule="auto"/>
        <w:ind w:firstLine="482" w:firstLineChars="200"/>
        <w:rPr>
          <w:rFonts w:ascii="仿宋" w:hAnsi="仿宋" w:eastAsia="仿宋" w:cs="仿宋"/>
          <w:sz w:val="24"/>
        </w:rPr>
      </w:pPr>
      <w:r>
        <w:rPr>
          <w:rFonts w:hint="eastAsia" w:ascii="仿宋" w:hAnsi="仿宋" w:eastAsia="仿宋" w:cs="仿宋"/>
          <w:b/>
          <w:sz w:val="24"/>
        </w:rPr>
        <w:t>十二、本合同一式陆份，</w:t>
      </w:r>
      <w:r>
        <w:rPr>
          <w:rFonts w:hint="eastAsia" w:ascii="仿宋" w:hAnsi="仿宋" w:eastAsia="仿宋" w:cs="仿宋"/>
          <w:sz w:val="24"/>
        </w:rPr>
        <w:t>甲方肆份，乙方贰份。自双方法定代表人或授权代表签字并盖章后生效，合同执行完毕自动失效。（合同的服务承诺则长期有效）。</w:t>
      </w:r>
    </w:p>
    <w:p w14:paraId="71BE1DEF">
      <w:pPr>
        <w:tabs>
          <w:tab w:val="left" w:pos="980"/>
        </w:tabs>
        <w:spacing w:line="360" w:lineRule="auto"/>
        <w:ind w:firstLine="482" w:firstLineChars="200"/>
        <w:rPr>
          <w:rFonts w:ascii="仿宋" w:hAnsi="仿宋" w:eastAsia="仿宋" w:cs="仿宋"/>
          <w:b/>
          <w:sz w:val="24"/>
        </w:rPr>
      </w:pPr>
      <w:r>
        <w:rPr>
          <w:rFonts w:hint="eastAsia" w:ascii="仿宋" w:hAnsi="仿宋" w:eastAsia="仿宋" w:cs="仿宋"/>
          <w:b/>
          <w:sz w:val="24"/>
        </w:rPr>
        <w:t>十三、其它（乙方信息全部为必填项）</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8"/>
        <w:gridCol w:w="4629"/>
      </w:tblGrid>
      <w:tr w14:paraId="71BE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DF0">
            <w:pPr>
              <w:spacing w:line="360" w:lineRule="auto"/>
              <w:jc w:val="left"/>
              <w:rPr>
                <w:rFonts w:ascii="仿宋" w:hAnsi="仿宋" w:eastAsia="仿宋" w:cs="仿宋"/>
              </w:rPr>
            </w:pPr>
            <w:r>
              <w:rPr>
                <w:rFonts w:hint="eastAsia" w:ascii="仿宋" w:hAnsi="仿宋" w:eastAsia="仿宋" w:cs="仿宋"/>
                <w:sz w:val="24"/>
              </w:rPr>
              <w:t>甲  方</w:t>
            </w:r>
          </w:p>
        </w:tc>
        <w:tc>
          <w:tcPr>
            <w:tcW w:w="4629" w:type="dxa"/>
            <w:tcBorders>
              <w:top w:val="single" w:color="auto" w:sz="4" w:space="0"/>
              <w:left w:val="single" w:color="auto" w:sz="4" w:space="0"/>
              <w:bottom w:val="single" w:color="auto" w:sz="4" w:space="0"/>
              <w:right w:val="single" w:color="auto" w:sz="4" w:space="0"/>
            </w:tcBorders>
            <w:vAlign w:val="center"/>
          </w:tcPr>
          <w:p w14:paraId="71BE1DF1">
            <w:pPr>
              <w:spacing w:line="360" w:lineRule="auto"/>
              <w:jc w:val="left"/>
              <w:rPr>
                <w:rFonts w:ascii="仿宋" w:hAnsi="仿宋" w:eastAsia="仿宋" w:cs="仿宋"/>
              </w:rPr>
            </w:pPr>
            <w:r>
              <w:rPr>
                <w:rFonts w:hint="eastAsia" w:ascii="仿宋" w:hAnsi="仿宋" w:eastAsia="仿宋" w:cs="仿宋"/>
                <w:sz w:val="24"/>
              </w:rPr>
              <w:t>乙  方</w:t>
            </w:r>
          </w:p>
        </w:tc>
      </w:tr>
      <w:tr w14:paraId="71BE1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DF3">
            <w:pPr>
              <w:spacing w:line="360" w:lineRule="auto"/>
              <w:jc w:val="left"/>
              <w:rPr>
                <w:rFonts w:ascii="仿宋" w:hAnsi="仿宋" w:eastAsia="仿宋" w:cs="仿宋"/>
              </w:rPr>
            </w:pPr>
            <w:r>
              <w:rPr>
                <w:rFonts w:hint="eastAsia" w:ascii="仿宋" w:hAnsi="仿宋" w:eastAsia="仿宋" w:cs="仿宋"/>
                <w:sz w:val="24"/>
              </w:rPr>
              <w:t>（盖章）</w:t>
            </w:r>
          </w:p>
        </w:tc>
        <w:tc>
          <w:tcPr>
            <w:tcW w:w="4629" w:type="dxa"/>
            <w:tcBorders>
              <w:top w:val="single" w:color="auto" w:sz="4" w:space="0"/>
              <w:left w:val="single" w:color="auto" w:sz="4" w:space="0"/>
              <w:bottom w:val="single" w:color="auto" w:sz="4" w:space="0"/>
              <w:right w:val="single" w:color="auto" w:sz="4" w:space="0"/>
            </w:tcBorders>
            <w:vAlign w:val="center"/>
          </w:tcPr>
          <w:p w14:paraId="71BE1DF4">
            <w:pPr>
              <w:spacing w:line="360" w:lineRule="auto"/>
              <w:jc w:val="left"/>
              <w:rPr>
                <w:rFonts w:ascii="仿宋" w:hAnsi="仿宋" w:eastAsia="仿宋" w:cs="仿宋"/>
              </w:rPr>
            </w:pPr>
            <w:r>
              <w:rPr>
                <w:rFonts w:hint="eastAsia" w:ascii="仿宋" w:hAnsi="仿宋" w:eastAsia="仿宋" w:cs="仿宋"/>
                <w:sz w:val="24"/>
              </w:rPr>
              <w:t>中标单位全称</w:t>
            </w:r>
          </w:p>
          <w:p w14:paraId="71BE1DF5">
            <w:pPr>
              <w:spacing w:line="360" w:lineRule="auto"/>
              <w:jc w:val="left"/>
              <w:rPr>
                <w:rFonts w:ascii="仿宋" w:hAnsi="仿宋" w:eastAsia="仿宋" w:cs="仿宋"/>
              </w:rPr>
            </w:pPr>
            <w:r>
              <w:rPr>
                <w:rFonts w:hint="eastAsia" w:ascii="仿宋" w:hAnsi="仿宋" w:eastAsia="仿宋" w:cs="仿宋"/>
                <w:sz w:val="24"/>
              </w:rPr>
              <w:t>（盖章）</w:t>
            </w:r>
          </w:p>
        </w:tc>
      </w:tr>
      <w:tr w14:paraId="71BE1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DF7">
            <w:pPr>
              <w:spacing w:line="360" w:lineRule="auto"/>
              <w:jc w:val="left"/>
              <w:rPr>
                <w:rFonts w:ascii="仿宋" w:hAnsi="仿宋" w:eastAsia="仿宋" w:cs="仿宋"/>
              </w:rPr>
            </w:pPr>
            <w:r>
              <w:rPr>
                <w:rFonts w:hint="eastAsia" w:ascii="仿宋" w:hAnsi="仿宋" w:eastAsia="仿宋" w:cs="仿宋"/>
                <w:sz w:val="24"/>
              </w:rPr>
              <w:t>地址：</w:t>
            </w:r>
          </w:p>
        </w:tc>
        <w:tc>
          <w:tcPr>
            <w:tcW w:w="4629" w:type="dxa"/>
            <w:tcBorders>
              <w:top w:val="single" w:color="auto" w:sz="4" w:space="0"/>
              <w:left w:val="single" w:color="auto" w:sz="4" w:space="0"/>
              <w:bottom w:val="single" w:color="auto" w:sz="4" w:space="0"/>
              <w:right w:val="single" w:color="auto" w:sz="4" w:space="0"/>
            </w:tcBorders>
            <w:vAlign w:val="center"/>
          </w:tcPr>
          <w:p w14:paraId="71BE1DF8">
            <w:pPr>
              <w:jc w:val="left"/>
              <w:rPr>
                <w:rFonts w:ascii="仿宋" w:hAnsi="仿宋" w:eastAsia="仿宋" w:cs="仿宋"/>
              </w:rPr>
            </w:pPr>
            <w:r>
              <w:rPr>
                <w:rFonts w:hint="eastAsia" w:ascii="仿宋" w:hAnsi="仿宋" w:eastAsia="仿宋" w:cs="仿宋"/>
                <w:sz w:val="24"/>
              </w:rPr>
              <w:t>地址：</w:t>
            </w:r>
          </w:p>
        </w:tc>
      </w:tr>
      <w:tr w14:paraId="71BE1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DFA">
            <w:pPr>
              <w:spacing w:line="360" w:lineRule="auto"/>
              <w:jc w:val="left"/>
              <w:rPr>
                <w:rFonts w:ascii="仿宋" w:hAnsi="仿宋" w:eastAsia="仿宋" w:cs="仿宋"/>
              </w:rPr>
            </w:pPr>
            <w:r>
              <w:rPr>
                <w:rFonts w:hint="eastAsia" w:ascii="仿宋" w:hAnsi="仿宋" w:eastAsia="仿宋" w:cs="仿宋"/>
                <w:sz w:val="24"/>
              </w:rPr>
              <w:t>邮编：</w:t>
            </w:r>
          </w:p>
        </w:tc>
        <w:tc>
          <w:tcPr>
            <w:tcW w:w="4629" w:type="dxa"/>
            <w:tcBorders>
              <w:top w:val="single" w:color="auto" w:sz="4" w:space="0"/>
              <w:left w:val="single" w:color="auto" w:sz="4" w:space="0"/>
              <w:bottom w:val="single" w:color="auto" w:sz="4" w:space="0"/>
              <w:right w:val="single" w:color="auto" w:sz="4" w:space="0"/>
            </w:tcBorders>
            <w:vAlign w:val="center"/>
          </w:tcPr>
          <w:p w14:paraId="71BE1DFB">
            <w:pPr>
              <w:spacing w:line="360" w:lineRule="auto"/>
              <w:jc w:val="left"/>
              <w:rPr>
                <w:rFonts w:ascii="仿宋" w:hAnsi="仿宋" w:eastAsia="仿宋" w:cs="仿宋"/>
              </w:rPr>
            </w:pPr>
            <w:r>
              <w:rPr>
                <w:rFonts w:hint="eastAsia" w:ascii="仿宋" w:hAnsi="仿宋" w:eastAsia="仿宋" w:cs="仿宋"/>
                <w:sz w:val="24"/>
              </w:rPr>
              <w:t>邮编：</w:t>
            </w:r>
          </w:p>
        </w:tc>
      </w:tr>
      <w:tr w14:paraId="71BE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vMerge w:val="restart"/>
            <w:tcBorders>
              <w:top w:val="single" w:color="auto" w:sz="4" w:space="0"/>
              <w:left w:val="single" w:color="auto" w:sz="4" w:space="0"/>
              <w:right w:val="single" w:color="auto" w:sz="4" w:space="0"/>
            </w:tcBorders>
            <w:vAlign w:val="center"/>
          </w:tcPr>
          <w:p w14:paraId="71BE1DFD">
            <w:pPr>
              <w:spacing w:line="360" w:lineRule="auto"/>
              <w:jc w:val="left"/>
              <w:rPr>
                <w:rFonts w:ascii="仿宋" w:hAnsi="仿宋" w:eastAsia="仿宋" w:cs="仿宋"/>
              </w:rPr>
            </w:pPr>
            <w:r>
              <w:rPr>
                <w:rFonts w:hint="eastAsia" w:ascii="仿宋" w:hAnsi="仿宋" w:eastAsia="仿宋" w:cs="仿宋"/>
                <w:sz w:val="24"/>
              </w:rPr>
              <w:t>法定代表人：（签字）</w:t>
            </w:r>
          </w:p>
        </w:tc>
        <w:tc>
          <w:tcPr>
            <w:tcW w:w="4629" w:type="dxa"/>
            <w:tcBorders>
              <w:top w:val="single" w:color="auto" w:sz="4" w:space="0"/>
              <w:left w:val="single" w:color="auto" w:sz="4" w:space="0"/>
              <w:bottom w:val="single" w:color="auto" w:sz="4" w:space="0"/>
              <w:right w:val="single" w:color="auto" w:sz="4" w:space="0"/>
            </w:tcBorders>
            <w:vAlign w:val="center"/>
          </w:tcPr>
          <w:p w14:paraId="71BE1DFE">
            <w:pPr>
              <w:spacing w:line="360" w:lineRule="auto"/>
              <w:jc w:val="left"/>
              <w:rPr>
                <w:rFonts w:ascii="仿宋" w:hAnsi="仿宋" w:eastAsia="仿宋" w:cs="仿宋"/>
              </w:rPr>
            </w:pPr>
            <w:r>
              <w:rPr>
                <w:rFonts w:hint="eastAsia" w:ascii="仿宋" w:hAnsi="仿宋" w:eastAsia="仿宋" w:cs="仿宋"/>
                <w:sz w:val="24"/>
              </w:rPr>
              <w:t>法定代表人：</w:t>
            </w:r>
          </w:p>
        </w:tc>
      </w:tr>
      <w:tr w14:paraId="71BE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vMerge w:val="continue"/>
            <w:tcBorders>
              <w:left w:val="single" w:color="auto" w:sz="4" w:space="0"/>
              <w:bottom w:val="single" w:color="auto" w:sz="4" w:space="0"/>
              <w:right w:val="single" w:color="auto" w:sz="4" w:space="0"/>
            </w:tcBorders>
            <w:vAlign w:val="center"/>
          </w:tcPr>
          <w:p w14:paraId="71BE1E00">
            <w:pPr>
              <w:spacing w:line="360" w:lineRule="auto"/>
              <w:jc w:val="left"/>
              <w:rPr>
                <w:rFonts w:ascii="仿宋" w:hAnsi="仿宋" w:eastAsia="仿宋" w:cs="仿宋"/>
              </w:rPr>
            </w:pPr>
          </w:p>
        </w:tc>
        <w:tc>
          <w:tcPr>
            <w:tcW w:w="4629" w:type="dxa"/>
            <w:tcBorders>
              <w:top w:val="single" w:color="auto" w:sz="4" w:space="0"/>
              <w:left w:val="single" w:color="auto" w:sz="4" w:space="0"/>
              <w:bottom w:val="single" w:color="auto" w:sz="4" w:space="0"/>
              <w:right w:val="single" w:color="auto" w:sz="4" w:space="0"/>
            </w:tcBorders>
            <w:vAlign w:val="center"/>
          </w:tcPr>
          <w:p w14:paraId="71BE1E01">
            <w:pPr>
              <w:spacing w:line="360" w:lineRule="auto"/>
              <w:jc w:val="left"/>
              <w:rPr>
                <w:rFonts w:ascii="仿宋" w:hAnsi="仿宋" w:eastAsia="仿宋" w:cs="仿宋"/>
              </w:rPr>
            </w:pPr>
            <w:r>
              <w:rPr>
                <w:rFonts w:hint="eastAsia" w:ascii="仿宋" w:hAnsi="仿宋" w:eastAsia="仿宋" w:cs="仿宋"/>
                <w:sz w:val="24"/>
              </w:rPr>
              <w:t>被授权代表：（签字）</w:t>
            </w:r>
          </w:p>
        </w:tc>
      </w:tr>
      <w:tr w14:paraId="71BE1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E03">
            <w:pPr>
              <w:spacing w:line="360" w:lineRule="auto"/>
              <w:jc w:val="left"/>
              <w:rPr>
                <w:rFonts w:ascii="仿宋" w:hAnsi="仿宋" w:eastAsia="仿宋" w:cs="仿宋"/>
              </w:rPr>
            </w:pPr>
            <w:r>
              <w:rPr>
                <w:rFonts w:hint="eastAsia" w:ascii="仿宋" w:hAnsi="仿宋" w:eastAsia="仿宋" w:cs="仿宋"/>
                <w:sz w:val="24"/>
              </w:rPr>
              <w:t>电话：</w:t>
            </w:r>
          </w:p>
        </w:tc>
        <w:tc>
          <w:tcPr>
            <w:tcW w:w="4629" w:type="dxa"/>
            <w:tcBorders>
              <w:top w:val="single" w:color="auto" w:sz="4" w:space="0"/>
              <w:left w:val="single" w:color="auto" w:sz="4" w:space="0"/>
              <w:bottom w:val="single" w:color="auto" w:sz="4" w:space="0"/>
              <w:right w:val="single" w:color="auto" w:sz="4" w:space="0"/>
            </w:tcBorders>
            <w:vAlign w:val="center"/>
          </w:tcPr>
          <w:p w14:paraId="71BE1E04">
            <w:pPr>
              <w:spacing w:line="360" w:lineRule="auto"/>
              <w:jc w:val="left"/>
              <w:rPr>
                <w:rFonts w:ascii="仿宋" w:hAnsi="仿宋" w:eastAsia="仿宋" w:cs="仿宋"/>
              </w:rPr>
            </w:pPr>
            <w:r>
              <w:rPr>
                <w:rFonts w:hint="eastAsia" w:ascii="仿宋" w:hAnsi="仿宋" w:eastAsia="仿宋" w:cs="仿宋"/>
                <w:sz w:val="24"/>
              </w:rPr>
              <w:t>电话：</w:t>
            </w:r>
          </w:p>
        </w:tc>
      </w:tr>
      <w:tr w14:paraId="71BE1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E06">
            <w:pPr>
              <w:spacing w:line="360" w:lineRule="auto"/>
              <w:jc w:val="left"/>
              <w:rPr>
                <w:rFonts w:ascii="仿宋" w:hAnsi="仿宋" w:eastAsia="仿宋" w:cs="仿宋"/>
              </w:rPr>
            </w:pPr>
            <w:r>
              <w:rPr>
                <w:rFonts w:hint="eastAsia" w:ascii="仿宋" w:hAnsi="仿宋" w:eastAsia="仿宋" w:cs="仿宋"/>
                <w:sz w:val="24"/>
              </w:rPr>
              <w:t>传真：</w:t>
            </w:r>
          </w:p>
        </w:tc>
        <w:tc>
          <w:tcPr>
            <w:tcW w:w="4629" w:type="dxa"/>
            <w:tcBorders>
              <w:top w:val="single" w:color="auto" w:sz="4" w:space="0"/>
              <w:left w:val="single" w:color="auto" w:sz="4" w:space="0"/>
              <w:bottom w:val="single" w:color="auto" w:sz="4" w:space="0"/>
              <w:right w:val="single" w:color="auto" w:sz="4" w:space="0"/>
            </w:tcBorders>
            <w:vAlign w:val="center"/>
          </w:tcPr>
          <w:p w14:paraId="71BE1E07">
            <w:pPr>
              <w:spacing w:line="360" w:lineRule="auto"/>
              <w:jc w:val="left"/>
              <w:rPr>
                <w:rFonts w:ascii="仿宋" w:hAnsi="仿宋" w:eastAsia="仿宋" w:cs="仿宋"/>
              </w:rPr>
            </w:pPr>
            <w:r>
              <w:rPr>
                <w:rFonts w:hint="eastAsia" w:ascii="仿宋" w:hAnsi="仿宋" w:eastAsia="仿宋" w:cs="仿宋"/>
                <w:sz w:val="24"/>
              </w:rPr>
              <w:t>传真：</w:t>
            </w:r>
          </w:p>
        </w:tc>
      </w:tr>
      <w:tr w14:paraId="71BE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E09">
            <w:pPr>
              <w:spacing w:line="360" w:lineRule="auto"/>
              <w:jc w:val="left"/>
              <w:rPr>
                <w:rFonts w:ascii="仿宋" w:hAnsi="仿宋" w:eastAsia="仿宋" w:cs="仿宋"/>
              </w:rPr>
            </w:pPr>
            <w:r>
              <w:rPr>
                <w:rFonts w:hint="eastAsia" w:ascii="仿宋" w:hAnsi="仿宋" w:eastAsia="仿宋" w:cs="仿宋"/>
                <w:sz w:val="24"/>
              </w:rPr>
              <w:t>开户银行：</w:t>
            </w:r>
          </w:p>
        </w:tc>
        <w:tc>
          <w:tcPr>
            <w:tcW w:w="4629" w:type="dxa"/>
            <w:tcBorders>
              <w:top w:val="single" w:color="auto" w:sz="4" w:space="0"/>
              <w:left w:val="single" w:color="auto" w:sz="4" w:space="0"/>
              <w:bottom w:val="single" w:color="auto" w:sz="4" w:space="0"/>
              <w:right w:val="single" w:color="auto" w:sz="4" w:space="0"/>
            </w:tcBorders>
            <w:vAlign w:val="center"/>
          </w:tcPr>
          <w:p w14:paraId="71BE1E0A">
            <w:pPr>
              <w:spacing w:line="360" w:lineRule="auto"/>
              <w:jc w:val="left"/>
              <w:rPr>
                <w:rFonts w:ascii="仿宋" w:hAnsi="仿宋" w:eastAsia="仿宋" w:cs="仿宋"/>
              </w:rPr>
            </w:pPr>
            <w:r>
              <w:rPr>
                <w:rFonts w:hint="eastAsia" w:ascii="仿宋" w:hAnsi="仿宋" w:eastAsia="仿宋" w:cs="仿宋"/>
                <w:sz w:val="24"/>
              </w:rPr>
              <w:t>开户银行：</w:t>
            </w:r>
          </w:p>
        </w:tc>
      </w:tr>
      <w:tr w14:paraId="71BE1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E0C">
            <w:pPr>
              <w:spacing w:line="360" w:lineRule="auto"/>
              <w:jc w:val="left"/>
              <w:rPr>
                <w:rFonts w:ascii="仿宋" w:hAnsi="仿宋" w:eastAsia="仿宋" w:cs="仿宋"/>
              </w:rPr>
            </w:pPr>
            <w:r>
              <w:rPr>
                <w:rFonts w:hint="eastAsia" w:ascii="仿宋" w:hAnsi="仿宋" w:eastAsia="仿宋" w:cs="仿宋"/>
                <w:sz w:val="24"/>
              </w:rPr>
              <w:t>账号：</w:t>
            </w:r>
          </w:p>
        </w:tc>
        <w:tc>
          <w:tcPr>
            <w:tcW w:w="4629" w:type="dxa"/>
            <w:tcBorders>
              <w:top w:val="single" w:color="auto" w:sz="4" w:space="0"/>
              <w:left w:val="single" w:color="auto" w:sz="4" w:space="0"/>
              <w:bottom w:val="single" w:color="auto" w:sz="4" w:space="0"/>
              <w:right w:val="single" w:color="auto" w:sz="4" w:space="0"/>
            </w:tcBorders>
            <w:vAlign w:val="center"/>
          </w:tcPr>
          <w:p w14:paraId="71BE1E0D">
            <w:pPr>
              <w:spacing w:line="360" w:lineRule="auto"/>
              <w:jc w:val="left"/>
              <w:rPr>
                <w:rFonts w:ascii="仿宋" w:hAnsi="仿宋" w:eastAsia="仿宋" w:cs="仿宋"/>
              </w:rPr>
            </w:pPr>
            <w:r>
              <w:rPr>
                <w:rFonts w:hint="eastAsia" w:ascii="仿宋" w:hAnsi="仿宋" w:eastAsia="仿宋" w:cs="仿宋"/>
                <w:sz w:val="24"/>
              </w:rPr>
              <w:t>账号:</w:t>
            </w:r>
          </w:p>
        </w:tc>
      </w:tr>
      <w:tr w14:paraId="71BE1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E0F">
            <w:pPr>
              <w:spacing w:line="360" w:lineRule="auto"/>
              <w:jc w:val="left"/>
              <w:rPr>
                <w:rFonts w:ascii="仿宋" w:hAnsi="仿宋" w:eastAsia="仿宋" w:cs="仿宋"/>
              </w:rPr>
            </w:pPr>
            <w:r>
              <w:rPr>
                <w:rFonts w:hint="eastAsia" w:ascii="仿宋" w:hAnsi="仿宋" w:eastAsia="仿宋" w:cs="仿宋"/>
                <w:sz w:val="24"/>
              </w:rPr>
              <w:t>开户名称：</w:t>
            </w:r>
          </w:p>
        </w:tc>
        <w:tc>
          <w:tcPr>
            <w:tcW w:w="4629" w:type="dxa"/>
            <w:tcBorders>
              <w:top w:val="single" w:color="auto" w:sz="4" w:space="0"/>
              <w:left w:val="single" w:color="auto" w:sz="4" w:space="0"/>
              <w:bottom w:val="single" w:color="auto" w:sz="4" w:space="0"/>
              <w:right w:val="single" w:color="auto" w:sz="4" w:space="0"/>
            </w:tcBorders>
            <w:vAlign w:val="center"/>
          </w:tcPr>
          <w:p w14:paraId="71BE1E10">
            <w:pPr>
              <w:spacing w:line="360" w:lineRule="auto"/>
              <w:jc w:val="left"/>
              <w:rPr>
                <w:rFonts w:ascii="仿宋" w:hAnsi="仿宋" w:eastAsia="仿宋" w:cs="仿宋"/>
              </w:rPr>
            </w:pPr>
            <w:r>
              <w:rPr>
                <w:rFonts w:hint="eastAsia" w:ascii="仿宋" w:hAnsi="仿宋" w:eastAsia="仿宋" w:cs="仿宋"/>
                <w:sz w:val="24"/>
              </w:rPr>
              <w:t>开户名称：</w:t>
            </w:r>
          </w:p>
        </w:tc>
      </w:tr>
      <w:tr w14:paraId="71BE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E12">
            <w:pPr>
              <w:spacing w:line="360" w:lineRule="auto"/>
              <w:jc w:val="left"/>
              <w:rPr>
                <w:rFonts w:ascii="仿宋" w:hAnsi="仿宋" w:eastAsia="仿宋" w:cs="仿宋"/>
              </w:rPr>
            </w:pPr>
          </w:p>
        </w:tc>
        <w:tc>
          <w:tcPr>
            <w:tcW w:w="4629" w:type="dxa"/>
            <w:tcBorders>
              <w:top w:val="single" w:color="auto" w:sz="4" w:space="0"/>
              <w:left w:val="single" w:color="auto" w:sz="4" w:space="0"/>
              <w:bottom w:val="single" w:color="auto" w:sz="4" w:space="0"/>
              <w:right w:val="single" w:color="auto" w:sz="4" w:space="0"/>
            </w:tcBorders>
            <w:vAlign w:val="center"/>
          </w:tcPr>
          <w:p w14:paraId="71BE1E13">
            <w:pPr>
              <w:spacing w:line="360" w:lineRule="auto"/>
              <w:jc w:val="left"/>
              <w:rPr>
                <w:rFonts w:ascii="仿宋" w:hAnsi="仿宋" w:eastAsia="仿宋" w:cs="仿宋"/>
              </w:rPr>
            </w:pPr>
            <w:r>
              <w:rPr>
                <w:rFonts w:hint="eastAsia" w:ascii="仿宋" w:hAnsi="仿宋" w:eastAsia="仿宋" w:cs="仿宋"/>
                <w:sz w:val="24"/>
              </w:rPr>
              <w:t>企业规模：</w:t>
            </w:r>
          </w:p>
        </w:tc>
      </w:tr>
      <w:tr w14:paraId="71BE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E15">
            <w:pPr>
              <w:spacing w:line="360" w:lineRule="auto"/>
              <w:jc w:val="left"/>
              <w:rPr>
                <w:rFonts w:ascii="仿宋" w:hAnsi="仿宋" w:eastAsia="仿宋" w:cs="仿宋"/>
              </w:rPr>
            </w:pPr>
          </w:p>
        </w:tc>
        <w:tc>
          <w:tcPr>
            <w:tcW w:w="4629" w:type="dxa"/>
            <w:tcBorders>
              <w:top w:val="single" w:color="auto" w:sz="4" w:space="0"/>
              <w:left w:val="single" w:color="auto" w:sz="4" w:space="0"/>
              <w:bottom w:val="single" w:color="auto" w:sz="4" w:space="0"/>
              <w:right w:val="single" w:color="auto" w:sz="4" w:space="0"/>
            </w:tcBorders>
            <w:vAlign w:val="center"/>
          </w:tcPr>
          <w:p w14:paraId="71BE1E16">
            <w:pPr>
              <w:spacing w:line="360" w:lineRule="auto"/>
              <w:jc w:val="left"/>
              <w:rPr>
                <w:rFonts w:ascii="仿宋" w:hAnsi="仿宋" w:eastAsia="仿宋" w:cs="仿宋"/>
              </w:rPr>
            </w:pPr>
            <w:r>
              <w:rPr>
                <w:rFonts w:hint="eastAsia" w:ascii="仿宋" w:hAnsi="仿宋" w:eastAsia="仿宋" w:cs="仿宋"/>
                <w:sz w:val="24"/>
              </w:rPr>
              <w:t>纳税人识别号：</w:t>
            </w:r>
          </w:p>
        </w:tc>
      </w:tr>
      <w:tr w14:paraId="71BE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4628" w:type="dxa"/>
            <w:tcBorders>
              <w:top w:val="single" w:color="auto" w:sz="4" w:space="0"/>
              <w:left w:val="single" w:color="auto" w:sz="4" w:space="0"/>
              <w:bottom w:val="single" w:color="auto" w:sz="4" w:space="0"/>
              <w:right w:val="single" w:color="auto" w:sz="4" w:space="0"/>
            </w:tcBorders>
            <w:vAlign w:val="center"/>
          </w:tcPr>
          <w:p w14:paraId="71BE1E18">
            <w:pPr>
              <w:spacing w:line="360" w:lineRule="auto"/>
              <w:jc w:val="left"/>
              <w:rPr>
                <w:rFonts w:ascii="仿宋" w:hAnsi="仿宋" w:eastAsia="仿宋" w:cs="仿宋"/>
              </w:rPr>
            </w:pPr>
            <w:r>
              <w:rPr>
                <w:rFonts w:hint="eastAsia" w:ascii="仿宋" w:hAnsi="仿宋" w:eastAsia="仿宋" w:cs="仿宋"/>
                <w:sz w:val="24"/>
              </w:rPr>
              <w:t>日期：  年   月   日</w:t>
            </w:r>
          </w:p>
        </w:tc>
        <w:tc>
          <w:tcPr>
            <w:tcW w:w="4629" w:type="dxa"/>
            <w:tcBorders>
              <w:top w:val="single" w:color="auto" w:sz="4" w:space="0"/>
              <w:left w:val="single" w:color="auto" w:sz="4" w:space="0"/>
              <w:bottom w:val="single" w:color="auto" w:sz="4" w:space="0"/>
              <w:right w:val="single" w:color="auto" w:sz="4" w:space="0"/>
            </w:tcBorders>
            <w:vAlign w:val="center"/>
          </w:tcPr>
          <w:p w14:paraId="71BE1E19">
            <w:pPr>
              <w:spacing w:line="360" w:lineRule="auto"/>
              <w:jc w:val="left"/>
              <w:rPr>
                <w:rFonts w:ascii="仿宋" w:hAnsi="仿宋" w:eastAsia="仿宋" w:cs="仿宋"/>
              </w:rPr>
            </w:pPr>
            <w:r>
              <w:rPr>
                <w:rFonts w:hint="eastAsia" w:ascii="仿宋" w:hAnsi="仿宋" w:eastAsia="仿宋" w:cs="仿宋"/>
                <w:sz w:val="24"/>
              </w:rPr>
              <w:t>日期：  年   月   日</w:t>
            </w:r>
          </w:p>
        </w:tc>
      </w:tr>
    </w:tbl>
    <w:p w14:paraId="71BE1E1B">
      <w:pPr>
        <w:pStyle w:val="40"/>
        <w:rPr>
          <w:rFonts w:hint="default" w:ascii="仿宋" w:hAnsi="仿宋" w:eastAsia="仿宋" w:cs="仿宋"/>
        </w:rPr>
      </w:pPr>
    </w:p>
    <w:p w14:paraId="71BE1E1C"/>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ptos">
    <w:altName w:val="Segoe Print"/>
    <w:panose1 w:val="020B0004020202020204"/>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E1E22">
    <w:pPr>
      <w:pStyle w:val="13"/>
    </w:pPr>
    <w:r>
      <w:pict>
        <v:shape id="_x0000_s1025" o:spid="_x0000_s1025" o:spt="202" type="#_x0000_t202" style="position:absolute;left:0pt;margin-top:0pt;height:11pt;width:4.85pt;mso-position-horizontal:center;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14:paraId="71BE1E24">
                <w:pPr>
                  <w:pStyle w:val="13"/>
                </w:pPr>
                <w:r>
                  <w:fldChar w:fldCharType="begin"/>
                </w:r>
                <w:r>
                  <w:instrText xml:space="preserve"> PAGE  \* MERGEFORMAT </w:instrText>
                </w:r>
                <w:r>
                  <w:fldChar w:fldCharType="separate"/>
                </w:r>
                <w:r>
                  <w:t>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486F4"/>
    <w:multiLevelType w:val="singleLevel"/>
    <w:tmpl w:val="13D486F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noPunctuationKerning w:val="1"/>
  <w:characterSpacingControl w:val="doNotCompress"/>
  <w:hdrShapeDefaults>
    <o:shapelayout v:ext="edit">
      <o:idmap v:ext="edit" data="1"/>
    </o:shapelayout>
  </w:hdrShapeDefaults>
  <w:compat>
    <w:doNotExpandShiftReturn/>
    <w:doNotWrapTextWithPunct/>
    <w:doNotUseEastAsianBreakRules/>
    <w:useFELayout/>
    <w:compatSetting w:name="compatibilityMode" w:uri="http://schemas.microsoft.com/office/word" w:val="12"/>
  </w:compat>
  <w:rsids>
    <w:rsidRoot w:val="0007781E"/>
    <w:rsid w:val="0007781E"/>
    <w:rsid w:val="000F02C2"/>
    <w:rsid w:val="00137E60"/>
    <w:rsid w:val="00385D03"/>
    <w:rsid w:val="003A67EC"/>
    <w:rsid w:val="00476541"/>
    <w:rsid w:val="007C42AB"/>
    <w:rsid w:val="008C16FB"/>
    <w:rsid w:val="00BE101C"/>
    <w:rsid w:val="00BF0E8C"/>
    <w:rsid w:val="00C132AA"/>
    <w:rsid w:val="00DF0EB6"/>
    <w:rsid w:val="00E86BEB"/>
    <w:rsid w:val="00F32E3C"/>
    <w:rsid w:val="1FAA15F9"/>
    <w:rsid w:val="38777B53"/>
    <w:rsid w:val="45767004"/>
    <w:rsid w:val="72016A74"/>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1"/>
    <w:link w:val="2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1"/>
    <w:link w:val="2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1"/>
    <w:link w:val="2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1"/>
    <w:link w:val="26"/>
    <w:semiHidden/>
    <w:unhideWhenUsed/>
    <w:qFormat/>
    <w:uiPriority w:val="9"/>
    <w:pPr>
      <w:keepNext/>
      <w:keepLines/>
      <w:spacing w:before="40"/>
      <w:outlineLvl w:val="5"/>
    </w:pPr>
    <w:rPr>
      <w:rFonts w:eastAsiaTheme="majorEastAsia" w:cstheme="majorBidi"/>
      <w:i/>
      <w:iCs/>
      <w:color w:val="585858" w:themeColor="text1" w:themeTint="A6"/>
    </w:rPr>
  </w:style>
  <w:style w:type="paragraph" w:styleId="9">
    <w:name w:val="heading 7"/>
    <w:basedOn w:val="1"/>
    <w:next w:val="1"/>
    <w:link w:val="27"/>
    <w:semiHidden/>
    <w:unhideWhenUsed/>
    <w:qFormat/>
    <w:uiPriority w:val="9"/>
    <w:pPr>
      <w:keepNext/>
      <w:keepLines/>
      <w:spacing w:before="40"/>
      <w:outlineLvl w:val="6"/>
    </w:pPr>
    <w:rPr>
      <w:rFonts w:eastAsiaTheme="majorEastAsia" w:cstheme="majorBidi"/>
      <w:color w:val="585858" w:themeColor="text1" w:themeTint="A6"/>
    </w:rPr>
  </w:style>
  <w:style w:type="paragraph" w:styleId="10">
    <w:name w:val="heading 8"/>
    <w:basedOn w:val="1"/>
    <w:next w:val="1"/>
    <w:link w:val="28"/>
    <w:semiHidden/>
    <w:unhideWhenUsed/>
    <w:qFormat/>
    <w:uiPriority w:val="9"/>
    <w:pPr>
      <w:keepNext/>
      <w:keepLines/>
      <w:outlineLvl w:val="7"/>
    </w:pPr>
    <w:rPr>
      <w:rFonts w:eastAsiaTheme="majorEastAsia" w:cstheme="majorBidi"/>
      <w:i/>
      <w:iCs/>
      <w:color w:val="262626" w:themeColor="text1" w:themeTint="D8"/>
    </w:rPr>
  </w:style>
  <w:style w:type="paragraph" w:styleId="11">
    <w:name w:val="heading 9"/>
    <w:basedOn w:val="1"/>
    <w:next w:val="1"/>
    <w:link w:val="29"/>
    <w:semiHidden/>
    <w:unhideWhenUsed/>
    <w:qFormat/>
    <w:uiPriority w:val="9"/>
    <w:pPr>
      <w:keepNext/>
      <w:keepLines/>
      <w:outlineLvl w:val="8"/>
    </w:pPr>
    <w:rPr>
      <w:rFonts w:eastAsiaTheme="majorEastAsia" w:cstheme="majorBidi"/>
      <w:color w:val="262626" w:themeColor="text1" w:themeTint="D8"/>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eastAsia="宋体" w:cs="Times New Roman"/>
    </w:rPr>
  </w:style>
  <w:style w:type="paragraph" w:styleId="12">
    <w:name w:val="annotation text"/>
    <w:basedOn w:val="1"/>
    <w:semiHidden/>
    <w:unhideWhenUsed/>
    <w:uiPriority w:val="99"/>
    <w:pPr>
      <w:jc w:val="left"/>
    </w:pPr>
  </w:style>
  <w:style w:type="paragraph" w:styleId="13">
    <w:name w:val="footer"/>
    <w:basedOn w:val="1"/>
    <w:link w:val="39"/>
    <w:qFormat/>
    <w:uiPriority w:val="0"/>
    <w:pPr>
      <w:tabs>
        <w:tab w:val="center" w:pos="4153"/>
        <w:tab w:val="right" w:pos="8306"/>
      </w:tabs>
      <w:snapToGrid w:val="0"/>
      <w:jc w:val="left"/>
    </w:pPr>
    <w:rPr>
      <w:sz w:val="18"/>
    </w:rPr>
  </w:style>
  <w:style w:type="paragraph" w:styleId="14">
    <w:name w:val="header"/>
    <w:basedOn w:val="1"/>
    <w:link w:val="4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1"/>
    <w:qFormat/>
    <w:uiPriority w:val="11"/>
    <w:rPr>
      <w:rFonts w:eastAsiaTheme="majorEastAsia" w:cstheme="majorBidi"/>
      <w:color w:val="585858" w:themeColor="text1" w:themeTint="A6"/>
      <w:spacing w:val="15"/>
      <w:sz w:val="28"/>
      <w:szCs w:val="28"/>
    </w:rPr>
  </w:style>
  <w:style w:type="paragraph" w:styleId="16">
    <w:name w:val="Title"/>
    <w:basedOn w:val="1"/>
    <w:next w:val="1"/>
    <w:link w:val="30"/>
    <w:qFormat/>
    <w:uiPriority w:val="10"/>
    <w:pPr>
      <w:spacing w:after="80"/>
      <w:contextualSpacing/>
    </w:pPr>
    <w:rPr>
      <w:rFonts w:asciiTheme="majorHAnsi" w:hAnsiTheme="majorHAnsi" w:eastAsiaTheme="majorEastAsia" w:cstheme="majorBidi"/>
      <w:spacing w:val="-10"/>
      <w:kern w:val="28"/>
      <w:sz w:val="56"/>
      <w:szCs w:val="56"/>
    </w:rPr>
  </w:style>
  <w:style w:type="character" w:styleId="19">
    <w:name w:val="Strong"/>
    <w:basedOn w:val="18"/>
    <w:qFormat/>
    <w:uiPriority w:val="22"/>
    <w:rPr>
      <w:b/>
    </w:rPr>
  </w:style>
  <w:style w:type="character" w:styleId="20">
    <w:name w:val="annotation reference"/>
    <w:basedOn w:val="18"/>
    <w:semiHidden/>
    <w:unhideWhenUsed/>
    <w:qFormat/>
    <w:uiPriority w:val="99"/>
    <w:rPr>
      <w:sz w:val="16"/>
      <w:szCs w:val="16"/>
    </w:rPr>
  </w:style>
  <w:style w:type="character" w:customStyle="1" w:styleId="21">
    <w:name w:val="Heading 1 Char"/>
    <w:basedOn w:val="18"/>
    <w:link w:val="3"/>
    <w:qFormat/>
    <w:uiPriority w:val="9"/>
    <w:rPr>
      <w:rFonts w:asciiTheme="majorHAnsi" w:hAnsiTheme="majorHAnsi" w:eastAsiaTheme="majorEastAsia" w:cstheme="majorBidi"/>
      <w:color w:val="0F4761" w:themeColor="accent1" w:themeShade="BF"/>
      <w:sz w:val="40"/>
      <w:szCs w:val="40"/>
    </w:rPr>
  </w:style>
  <w:style w:type="character" w:customStyle="1" w:styleId="22">
    <w:name w:val="Heading 2 Char"/>
    <w:basedOn w:val="18"/>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3">
    <w:name w:val="Heading 3 Char"/>
    <w:basedOn w:val="18"/>
    <w:link w:val="5"/>
    <w:semiHidden/>
    <w:qFormat/>
    <w:uiPriority w:val="9"/>
    <w:rPr>
      <w:rFonts w:eastAsiaTheme="majorEastAsia" w:cstheme="majorBidi"/>
      <w:color w:val="0F4761" w:themeColor="accent1" w:themeShade="BF"/>
      <w:sz w:val="28"/>
      <w:szCs w:val="28"/>
    </w:rPr>
  </w:style>
  <w:style w:type="character" w:customStyle="1" w:styleId="24">
    <w:name w:val="Heading 4 Char"/>
    <w:basedOn w:val="18"/>
    <w:link w:val="6"/>
    <w:semiHidden/>
    <w:qFormat/>
    <w:uiPriority w:val="9"/>
    <w:rPr>
      <w:rFonts w:eastAsiaTheme="majorEastAsia" w:cstheme="majorBidi"/>
      <w:i/>
      <w:iCs/>
      <w:color w:val="0F4761" w:themeColor="accent1" w:themeShade="BF"/>
    </w:rPr>
  </w:style>
  <w:style w:type="character" w:customStyle="1" w:styleId="25">
    <w:name w:val="Heading 5 Char"/>
    <w:basedOn w:val="18"/>
    <w:link w:val="7"/>
    <w:semiHidden/>
    <w:qFormat/>
    <w:uiPriority w:val="9"/>
    <w:rPr>
      <w:rFonts w:eastAsiaTheme="majorEastAsia" w:cstheme="majorBidi"/>
      <w:color w:val="0F4761" w:themeColor="accent1" w:themeShade="BF"/>
    </w:rPr>
  </w:style>
  <w:style w:type="character" w:customStyle="1" w:styleId="26">
    <w:name w:val="Heading 6 Char"/>
    <w:basedOn w:val="18"/>
    <w:link w:val="8"/>
    <w:semiHidden/>
    <w:qFormat/>
    <w:uiPriority w:val="9"/>
    <w:rPr>
      <w:rFonts w:eastAsiaTheme="majorEastAsia" w:cstheme="majorBidi"/>
      <w:i/>
      <w:iCs/>
      <w:color w:val="585858" w:themeColor="text1" w:themeTint="A6"/>
    </w:rPr>
  </w:style>
  <w:style w:type="character" w:customStyle="1" w:styleId="27">
    <w:name w:val="Heading 7 Char"/>
    <w:basedOn w:val="18"/>
    <w:link w:val="9"/>
    <w:semiHidden/>
    <w:qFormat/>
    <w:uiPriority w:val="9"/>
    <w:rPr>
      <w:rFonts w:eastAsiaTheme="majorEastAsia" w:cstheme="majorBidi"/>
      <w:color w:val="585858" w:themeColor="text1" w:themeTint="A6"/>
    </w:rPr>
  </w:style>
  <w:style w:type="character" w:customStyle="1" w:styleId="28">
    <w:name w:val="Heading 8 Char"/>
    <w:basedOn w:val="18"/>
    <w:link w:val="10"/>
    <w:semiHidden/>
    <w:qFormat/>
    <w:uiPriority w:val="9"/>
    <w:rPr>
      <w:rFonts w:eastAsiaTheme="majorEastAsia" w:cstheme="majorBidi"/>
      <w:i/>
      <w:iCs/>
      <w:color w:val="262626" w:themeColor="text1" w:themeTint="D8"/>
    </w:rPr>
  </w:style>
  <w:style w:type="character" w:customStyle="1" w:styleId="29">
    <w:name w:val="Heading 9 Char"/>
    <w:basedOn w:val="18"/>
    <w:link w:val="11"/>
    <w:semiHidden/>
    <w:qFormat/>
    <w:uiPriority w:val="9"/>
    <w:rPr>
      <w:rFonts w:eastAsiaTheme="majorEastAsia" w:cstheme="majorBidi"/>
      <w:color w:val="262626" w:themeColor="text1" w:themeTint="D8"/>
    </w:rPr>
  </w:style>
  <w:style w:type="character" w:customStyle="1" w:styleId="30">
    <w:name w:val="Title Char"/>
    <w:basedOn w:val="18"/>
    <w:link w:val="16"/>
    <w:qFormat/>
    <w:uiPriority w:val="10"/>
    <w:rPr>
      <w:rFonts w:asciiTheme="majorHAnsi" w:hAnsiTheme="majorHAnsi" w:eastAsiaTheme="majorEastAsia" w:cstheme="majorBidi"/>
      <w:spacing w:val="-10"/>
      <w:kern w:val="28"/>
      <w:sz w:val="56"/>
      <w:szCs w:val="56"/>
    </w:rPr>
  </w:style>
  <w:style w:type="character" w:customStyle="1" w:styleId="31">
    <w:name w:val="Subtitle Char"/>
    <w:basedOn w:val="18"/>
    <w:link w:val="15"/>
    <w:qFormat/>
    <w:uiPriority w:val="11"/>
    <w:rPr>
      <w:rFonts w:eastAsiaTheme="majorEastAsia" w:cstheme="majorBidi"/>
      <w:color w:val="585858" w:themeColor="text1" w:themeTint="A6"/>
      <w:spacing w:val="15"/>
      <w:sz w:val="28"/>
      <w:szCs w:val="28"/>
    </w:rPr>
  </w:style>
  <w:style w:type="paragraph" w:styleId="32">
    <w:name w:val="Quote"/>
    <w:basedOn w:val="1"/>
    <w:next w:val="1"/>
    <w:link w:val="33"/>
    <w:qFormat/>
    <w:uiPriority w:val="29"/>
    <w:pPr>
      <w:spacing w:before="160"/>
      <w:jc w:val="center"/>
    </w:pPr>
    <w:rPr>
      <w:i/>
      <w:iCs/>
      <w:color w:val="3F3F3F" w:themeColor="text1" w:themeTint="BF"/>
    </w:rPr>
  </w:style>
  <w:style w:type="character" w:customStyle="1" w:styleId="33">
    <w:name w:val="Quote Char"/>
    <w:basedOn w:val="18"/>
    <w:link w:val="32"/>
    <w:qFormat/>
    <w:uiPriority w:val="29"/>
    <w:rPr>
      <w:i/>
      <w:iCs/>
      <w:color w:val="3F3F3F" w:themeColor="text1" w:themeTint="BF"/>
    </w:rPr>
  </w:style>
  <w:style w:type="paragraph" w:styleId="34">
    <w:name w:val="List Paragraph"/>
    <w:basedOn w:val="1"/>
    <w:qFormat/>
    <w:uiPriority w:val="34"/>
    <w:pPr>
      <w:ind w:left="720"/>
      <w:contextualSpacing/>
    </w:pPr>
  </w:style>
  <w:style w:type="character" w:customStyle="1" w:styleId="35">
    <w:name w:val="Intense Emphasis1"/>
    <w:basedOn w:val="18"/>
    <w:qFormat/>
    <w:uiPriority w:val="21"/>
    <w:rPr>
      <w:i/>
      <w:iCs/>
      <w:color w:val="0F4761"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7">
    <w:name w:val="Intense Quote Char"/>
    <w:basedOn w:val="18"/>
    <w:link w:val="36"/>
    <w:qFormat/>
    <w:uiPriority w:val="30"/>
    <w:rPr>
      <w:i/>
      <w:iCs/>
      <w:color w:val="0F4761" w:themeColor="accent1" w:themeShade="BF"/>
    </w:rPr>
  </w:style>
  <w:style w:type="character" w:customStyle="1" w:styleId="38">
    <w:name w:val="Intense Reference1"/>
    <w:basedOn w:val="18"/>
    <w:qFormat/>
    <w:uiPriority w:val="32"/>
    <w:rPr>
      <w:b/>
      <w:bCs/>
      <w:smallCaps/>
      <w:color w:val="0F4761" w:themeColor="accent1" w:themeShade="BF"/>
      <w:spacing w:val="5"/>
    </w:rPr>
  </w:style>
  <w:style w:type="character" w:customStyle="1" w:styleId="39">
    <w:name w:val="Footer Char"/>
    <w:basedOn w:val="18"/>
    <w:link w:val="13"/>
    <w:qFormat/>
    <w:uiPriority w:val="0"/>
    <w:rPr>
      <w:sz w:val="18"/>
      <w:lang w:val="en-US"/>
    </w:rPr>
  </w:style>
  <w:style w:type="paragraph" w:customStyle="1" w:styleId="40">
    <w:name w:val="null3"/>
    <w:hidden/>
    <w:qFormat/>
    <w:uiPriority w:val="0"/>
    <w:rPr>
      <w:rFonts w:hint="eastAsia" w:asciiTheme="minorHAnsi" w:hAnsiTheme="minorHAnsi" w:eastAsiaTheme="minorEastAsia" w:cstheme="minorBidi"/>
      <w:lang w:val="en-US" w:eastAsia="zh-CN" w:bidi="ar-SA"/>
    </w:rPr>
  </w:style>
  <w:style w:type="character" w:customStyle="1" w:styleId="41">
    <w:name w:val="Header Char"/>
    <w:basedOn w:val="18"/>
    <w:link w:val="14"/>
    <w:semiHidden/>
    <w:qFormat/>
    <w:uiPriority w:val="99"/>
    <w:rPr>
      <w:sz w:val="18"/>
      <w:szCs w:val="18"/>
    </w:rPr>
  </w:style>
  <w:style w:type="paragraph" w:customStyle="1" w:styleId="42">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2.xml><?xml version="1.0" encoding="utf-8"?>
<contractReview xmlns="http://schemas.wps.cn/vas-ai-hub/contract-review">
  <reviewItems>
    <reviewItem>
      <errorID>23dbc3f3-b542-4798-a996-8d9877faf51a</errorID>
      <errorWord>:</errorWord>
      <group>L1_Format</group>
      <groupName>格式问题</groupName>
      <ability>L2_HalfPunc</ability>
      <abilityName>全半角检查</abilityName>
      <candidateList>
        <item>：</item>
      </candidateList>
      <explain>文本全半角错误。</explain>
      <paraID>44D327A2</paraID>
      <start>78</start>
      <end>79</end>
      <status>unmodified</status>
      <modifiedWord/>
      <trackRevisions>false</trackRevisions>
    </reviewItem>
    <reviewItem>
      <errorID>9149b987-2c46-48e2-96f5-a594d8167713</errorID>
      <errorWord>价</errorWord>
      <group>L1_Word</group>
      <groupName>字词问题</groupName>
      <ability>L2_Typo</ability>
      <abilityName>字词错误</abilityName>
      <candidateList>
        <item>价格</item>
      </candidateList>
      <explain/>
      <paraID>601A21A1</paraID>
      <start>93</start>
      <end>94</end>
      <status>unmodified</status>
      <modifiedWord/>
      <trackRevisions>false</trackRevisions>
    </reviewItem>
    <reviewItem>
      <errorID>15e14bf3-e4de-4027-9f89-c4f46e8503d9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D393BCD</paraID>
      <start>0</start>
      <end>2</end>
      <status>unmodified</status>
      <modifiedWord/>
      <trackRevisions>false</trackRevisions>
    </reviewItem>
    <reviewItem>
      <errorID>afc91e7d-a76f-4c52-9f17-e073c2748c49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4B4018D1</paraID>
      <start>0</start>
      <end>2</end>
      <status>unmodified</status>
      <modifiedWord/>
      <trackRevisions>false</trackRevisions>
    </reviewItem>
    <reviewItem>
      <errorID>5e57773c-723f-4336-83a8-d8cda7f99959</errorID>
      <errorWord>日</errorWord>
      <group>L1_Word</group>
      <groupName>字词问题</groupName>
      <ability>L2_Typo</ability>
      <abilityName>字词错误</abilityName>
      <candidateList>
        <item>日起</item>
      </candidateList>
      <explain/>
      <paraID>4B4018D1</paraID>
      <start>13</start>
      <end>14</end>
      <status>unmodified</status>
      <modifiedWord/>
      <trackRevisions>false</trackRevisions>
    </reviewItem>
    <reviewItem>
      <errorID>e7b1c18f-430b-4de8-b9fb-eb25d363acbf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253A27F7</paraID>
      <start>0</start>
      <end>2</end>
      <status>unmodified</status>
      <modifiedWord/>
      <trackRevisions>false</trackRevisions>
    </reviewItem>
    <reviewItem>
      <errorID>1ca82fe0-6dd5-4c50-b6fd-317d53618c0c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37B374A3</paraID>
      <start>0</start>
      <end>2</end>
      <status>unmodified</status>
      <modifiedWord/>
      <trackRevisions>false</trackRevisions>
    </reviewItem>
    <reviewItem>
      <errorID>67851503-9606-43fc-8969-57f982aed285</errorID>
      <errorWord>:</errorWord>
      <group>L1_Format</group>
      <groupName>格式问题</groupName>
      <ability>L2_HalfPunc</ability>
      <abilityName>全半角检查</abilityName>
      <candidateList>
        <item>：</item>
      </candidateList>
      <explain>文本全半角错误。</explain>
      <paraID>37B374A3</paraID>
      <start>11</start>
      <end>12</end>
      <status>unmodified</status>
      <modifiedWord/>
      <trackRevisions>false</trackRevisions>
    </reviewItem>
    <reviewItem>
      <errorID>e744b2c4-5ac8-4a5d-a4a4-87b7d64336a8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5F339BF3</paraID>
      <start>0</start>
      <end>2</end>
      <status>unmodified</status>
      <modifiedWord/>
      <trackRevisions>false</trackRevisions>
    </reviewItem>
    <reviewItem>
      <errorID>98a82733-4960-4758-bcf3-019e1803f3e4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2DD252D9</paraID>
      <start>0</start>
      <end>2</end>
      <status>unmodified</status>
      <modifiedWord/>
      <trackRevisions>false</trackRevisions>
    </reviewItem>
    <reviewItem>
      <errorID>f52c68f1-0fab-4c9d-964b-d95b55c694fd</errorID>
      <errorWord>国标标准</errorWord>
      <group>L1_Word</group>
      <groupName>字词问题</groupName>
      <ability>L2_Typo</ability>
      <abilityName>字词错误</abilityName>
      <candidateList>
        <item>国家标准</item>
      </candidateList>
      <explain/>
      <paraID>2DD252D9</paraID>
      <start>149</start>
      <end>153</end>
      <status>unmodified</status>
      <modifiedWord/>
      <trackRevisions>false</trackRevisions>
    </reviewItem>
    <reviewItem>
      <errorID>d63b1f8e-e405-4f22-bbf1-760de4c5900d</errorID>
      <errorWord>,</errorWord>
      <group>L1_Format</group>
      <groupName>格式问题</groupName>
      <ability>L2_HalfPunc</ability>
      <abilityName>全半角检查</abilityName>
      <candidateList>
        <item>，</item>
      </candidateList>
      <explain>文本全半角错误。</explain>
      <paraID>2DD252D9</paraID>
      <start>162</start>
      <end>163</end>
      <status>unmodified</status>
      <modifiedWord/>
      <trackRevisions>false</trackRevisions>
    </reviewItem>
    <reviewItem>
      <errorID>5d1a9d8f-30ae-4d57-ac7e-5794a637e395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16CF4ADE</paraID>
      <start>0</start>
      <end>2</end>
      <status>unmodified</status>
      <modifiedWord/>
      <trackRevisions>false</trackRevisions>
    </reviewItem>
    <reviewItem>
      <errorID>8ff041ce-4d0f-4b94-bfef-2ddb2f961e74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6CA7146C</paraID>
      <start>0</start>
      <end>2</end>
      <status>unmodified</status>
      <modifiedWord/>
      <trackRevisions>false</trackRevisions>
    </reviewItem>
    <reviewItem>
      <errorID>b29cc1ee-9399-4cc4-a6b2-083499132f64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3D01A81C</paraID>
      <start>0</start>
      <end>2</end>
      <status>unmodified</status>
      <modifiedWord/>
      <trackRevisions>false</trackRevisions>
    </reviewItem>
    <reviewItem>
      <errorID>6552866b-f40d-45ce-a350-e075167f664c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26CE67C2</paraID>
      <start>0</start>
      <end>2</end>
      <status>unmodified</status>
      <modifiedWord/>
      <trackRevisions>false</trackRevisions>
    </reviewItem>
    <reviewItem>
      <errorID>e0aedb77-0c88-43ba-93f6-0e85ad8e5ef9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351FC593</paraID>
      <start>0</start>
      <end>2</end>
      <status>unmodified</status>
      <modifiedWord/>
      <trackRevisions>false</trackRevisions>
    </reviewItem>
    <reviewItem>
      <errorID>3929a27d-f176-4cb6-b85c-25407d504e90</errorID>
      <errorWord>其它</errorWord>
      <group>L1_Word</group>
      <groupName>字词问题</groupName>
      <ability>L2_Alias</ability>
      <abilityName>也作/曾用词</abilityName>
      <candidateList>
        <item>其他</item>
      </candidateList>
      <explain>词汇[其它]为不规范表述或旧称，其规范书面表述为[其他]。</explain>
      <paraID>351FC593</paraID>
      <start>28</start>
      <end>30</end>
      <status>unmodified</status>
      <modifiedWord/>
      <trackRevisions>false</trackRevisions>
    </reviewItem>
    <reviewItem>
      <errorID>1a4ac05b-a26c-413a-bfd3-105707842c89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16AD3FF0</paraID>
      <start>0</start>
      <end>2</end>
      <status>unmodified</status>
      <modifiedWord/>
      <trackRevisions>false</trackRevisions>
    </reviewItem>
    <reviewItem>
      <errorID>6e9a8cd9-934b-4460-9b82-ecadeaec547e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5C5C2968</paraID>
      <start>0</start>
      <end>2</end>
      <status>unmodified</status>
      <modifiedWord/>
      <trackRevisions>false</trackRevisions>
    </reviewItem>
    <reviewItem>
      <errorID>dcf9f034-c546-4103-82b2-75e392599ba6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185B3EBC</paraID>
      <start>0</start>
      <end>2</end>
      <status>unmodified</status>
      <modifiedWord/>
      <trackRevisions>false</trackRevisions>
    </reviewItem>
    <reviewItem>
      <errorID>9a24d679-91c6-4195-b755-e0ac3e2fc0f5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60E73FDA</paraID>
      <start>20</start>
      <end>21</end>
      <status>unmodified</status>
      <modifiedWord/>
      <trackRevisions>false</trackRevisions>
    </reviewItem>
    <reviewItem>
      <errorID>1b276e16-2b7d-46bb-8052-8f754d27cdb8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740694CB</paraID>
      <start>0</start>
      <end>2</end>
      <status>unmodified</status>
      <modifiedWord/>
      <trackRevisions>false</trackRevisions>
    </reviewItem>
    <reviewItem>
      <errorID>05387a8f-7e99-4956-9fc0-f2a25f511862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2A83EF5F</paraID>
      <start>0</start>
      <end>2</end>
      <status>unmodified</status>
      <modifiedWord/>
      <trackRevisions>false</trackRevisions>
    </reviewItem>
    <reviewItem>
      <errorID>a28bd2e4-ca25-41d4-a7a8-348c972b7010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51924667</paraID>
      <start>0</start>
      <end>2</end>
      <status>unmodified</status>
      <modifiedWord/>
      <trackRevisions>false</trackRevisions>
    </reviewItem>
    <reviewItem>
      <errorID>08177aed-32f4-442c-a71a-66c763e16332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42E9AE9C</paraID>
      <start>0</start>
      <end>2</end>
      <status>unmodified</status>
      <modifiedWord/>
      <trackRevisions>false</trackRevisions>
    </reviewItem>
    <reviewItem>
      <errorID>55f605b9-a3a5-43c0-bf36-b03c31d16b9f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5FF853BE</paraID>
      <start>0</start>
      <end>2</end>
      <status>unmodified</status>
      <modifiedWord/>
      <trackRevisions>false</trackRevisions>
    </reviewItem>
    <reviewItem>
      <errorID>ce53f6d8-74d4-4973-b107-aac387a67267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4088327</paraID>
      <start>0</start>
      <end>2</end>
      <status>unmodified</status>
      <modifiedWord/>
      <trackRevisions>false</trackRevisions>
    </reviewItem>
    <reviewItem>
      <errorID>bd090e86-3b91-4333-850c-a35ec6d418e6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1F738324</paraID>
      <start>0</start>
      <end>2</end>
      <status>unmodified</status>
      <modifiedWord/>
      <trackRevisions>false</trackRevisions>
    </reviewItem>
    <reviewItem>
      <errorID>4b3f358b-2970-466d-9c08-f5701c51424c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4CA5C0A2</paraID>
      <start>0</start>
      <end>2</end>
      <status>unmodified</status>
      <modifiedWord/>
      <trackRevisions>false</trackRevisions>
    </reviewItem>
    <reviewItem>
      <errorID>cf297310-c0fc-4e82-9980-577e06daffeb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6639966A</paraID>
      <start>0</start>
      <end>2</end>
      <status>unmodified</status>
      <modifiedWord/>
      <trackRevisions>false</trackRevisions>
    </reviewItem>
    <reviewItem>
      <errorID>f369eb37-2ebe-4286-ba07-d219025e3fc3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7AA3F32D</paraID>
      <start>0</start>
      <end>2</end>
      <status>unmodified</status>
      <modifiedWord/>
      <trackRevisions>false</trackRevisions>
    </reviewItem>
    <reviewItem>
      <errorID>2b173b85-d974-4534-a6ac-b26c6b37ff75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76CD802B</paraID>
      <start>0</start>
      <end>2</end>
      <status>unmodified</status>
      <modifiedWord/>
      <trackRevisions>false</trackRevisions>
    </reviewItem>
    <reviewItem>
      <errorID>c3a0fc7b-baea-42aa-a98e-c3404639dd0c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7201BAEC</paraID>
      <start>0</start>
      <end>2</end>
      <status>unmodified</status>
      <modifiedWord/>
      <trackRevisions>false</trackRevisions>
    </reviewItem>
    <reviewItem>
      <errorID>dfea34ca-4e6b-446e-ac06-b99161d8a082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E532133</paraID>
      <start>0</start>
      <end>2</end>
      <status>unmodified</status>
      <modifiedWord/>
      <trackRevisions>false</trackRevisions>
    </reviewItem>
    <reviewItem>
      <errorID>bbb05c94-41c3-4791-a892-4556871b6fd6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21419AED</paraID>
      <start>0</start>
      <end>2</end>
      <status>unmodified</status>
      <modifiedWord/>
      <trackRevisions>false</trackRevisions>
    </reviewItem>
    <reviewItem>
      <errorID>cc01c99c-080d-4ea9-8e6e-090b6626ab7e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4E749888</paraID>
      <start>0</start>
      <end>2</end>
      <status>unmodified</status>
      <modifiedWord/>
      <trackRevisions>false</trackRevisions>
    </reviewItem>
    <reviewItem>
      <errorID>adbdab7e-9919-4661-a34a-7af81dc98900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2108586A</paraID>
      <start>0</start>
      <end>2</end>
      <status>unmodified</status>
      <modifiedWord/>
      <trackRevisions>false</trackRevisions>
    </reviewItem>
    <reviewItem>
      <errorID>49f6c6c7-9da3-4c4b-bfbb-1f7ac92a7504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23C07B9E</paraID>
      <start>0</start>
      <end>2</end>
      <status>unmodified</status>
      <modifiedWord/>
      <trackRevisions>false</trackRevisions>
    </reviewItem>
    <reviewItem>
      <errorID>f859da97-61b7-4a43-934f-08154d68df22</errorID>
      <errorWord>,</errorWord>
      <group>L1_Format</group>
      <groupName>格式问题</groupName>
      <ability>L2_HalfPunc</ability>
      <abilityName>全半角检查</abilityName>
      <candidateList>
        <item>，</item>
      </candidateList>
      <explain>文本全半角错误。</explain>
      <paraID>23C07B9E</paraID>
      <start>37</start>
      <end>38</end>
      <status>unmodified</status>
      <modifiedWord/>
      <trackRevisions>false</trackRevisions>
    </reviewItem>
    <reviewItem>
      <errorID>d9e54485-5e6a-48d4-9e79-a1766d818724</errorID>
      <errorWord>、</errorWord>
      <group>L1_Word</group>
      <groupName>字词问题</groupName>
      <ability>L2_Typo</ability>
      <abilityName>字词错误</abilityName>
      <candidateList>
        <item>、以</item>
      </candidateList>
      <explain/>
      <paraID>23C07B9E</paraID>
      <start>52</start>
      <end>53</end>
      <status>unmodified</status>
      <modifiedWord/>
      <trackRevisions>false</trackRevisions>
    </reviewItem>
    <reviewItem>
      <errorID>7d90eb53-a4b7-4c11-b261-c0feed775eb7</errorID>
      <errorWord>提请</errorWord>
      <group>L1_Word</group>
      <groupName>字词问题</groupName>
      <ability>L2_Typo</ability>
      <abilityName>字词错误</abilityName>
      <candidateList>
        <item>提起</item>
      </candidateList>
      <explain/>
      <paraID>40B10C7D</paraID>
      <start>42</start>
      <end>44</end>
      <status>unmodified</status>
      <modifiedWord/>
      <trackRevisions>false</trackRevisions>
    </reviewItem>
    <reviewItem>
      <errorID>9f78eddf-dbca-4130-abb4-3b6d681cf322</errorID>
      <errorWord>其它</errorWord>
      <group>L1_Word</group>
      <groupName>字词问题</groupName>
      <ability>L2_Alias</ability>
      <abilityName>也作/曾用词</abilityName>
      <candidateList>
        <item>其他</item>
      </candidateList>
      <explain>词汇[其它]为不规范表述或旧称，其规范书面表述为[其他]。</explain>
      <paraID>47645A93</paraID>
      <start>3</start>
      <end>5</end>
      <status>unmodified</status>
      <modifiedWord/>
      <trackRevisions>false</trackRevisions>
    </reviewItem>
    <reviewItem>
      <errorID>d6898e12-f472-479b-b033-2da9146eea85</errorID>
      <errorWord>:</errorWord>
      <group>L1_Format</group>
      <groupName>格式问题</groupName>
      <ability>L2_HalfPunc</ability>
      <abilityName>全半角检查</abilityName>
      <candidateList>
        <item>：</item>
      </candidateList>
      <explain>文本全半角错误。</explain>
      <paraID>66B88DA1</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5EBB9C-93D1-4821-9679-21764B8A8781}">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3349</Words>
  <Characters>3368</Characters>
  <Lines>25</Lines>
  <Paragraphs>7</Paragraphs>
  <TotalTime>9</TotalTime>
  <ScaleCrop>false</ScaleCrop>
  <LinksUpToDate>false</LinksUpToDate>
  <CharactersWithSpaces>3421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2026-03-23T01:29:00Z</dcterms:created>
  <dc:creator>Guv yer</dc:creator>
  <cp:lastModifiedBy>℡Autism ミ</cp:lastModifiedBy>
  <dcterms:modified xsi:type="dcterms:W3CDTF">2026-03-26T05:05:14Z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eyJoZGlkIjoiNWU2YTZhNDE5MGJhZjFhODFmOGIyNjJkYzllZjk1NmMiLCJ1c2VySWQiOiIzODE5MDc1NjQifQ==</vt:lpwstr>
  </property>
  <property fmtid="{D5CDD505-2E9C-101B-9397-08002B2CF9AE}" pid="3" name="KSOProductBuildVer">
    <vt:lpwstr>2052-12.1.0.25225</vt:lpwstr>
  </property>
  <property fmtid="{D5CDD505-2E9C-101B-9397-08002B2CF9AE}" pid="4" name="ICV">
    <vt:lpwstr>355CB2F391244866865D270819B7FD37_12</vt:lpwstr>
  </property>
</Properties>
</file>