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版本号：【KRDL】K3-260302420260319001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门诊楼局部加固工程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【KRDL】K3-2603024</w:t>
      </w:r>
      <w:r>
        <w:br/>
      </w:r>
      <w:r>
        <w:br/>
      </w:r>
      <w:r>
        <w:br/>
      </w:r>
    </w:p>
    <w:p>
      <w:pPr>
        <w:pStyle w:val="null3"/>
        <w:jc w:val="center"/>
        <w:outlineLvl w:val="2"/>
      </w:pPr>
      <w:r>
        <w:rPr>
          <w:rFonts w:ascii="仿宋_GB2312" w:hAnsi="仿宋_GB2312" w:cs="仿宋_GB2312" w:eastAsia="仿宋_GB2312"/>
          <w:sz w:val="28"/>
          <w:b/>
        </w:rPr>
        <w:t>西安医学院第二附属医院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西安医学院第二附属医院</w:t>
      </w:r>
      <w:r>
        <w:rPr>
          <w:rFonts w:ascii="仿宋_GB2312" w:hAnsi="仿宋_GB2312" w:cs="仿宋_GB2312" w:eastAsia="仿宋_GB2312"/>
        </w:rPr>
        <w:t>委托，拟对</w:t>
      </w:r>
      <w:r>
        <w:rPr>
          <w:rFonts w:ascii="仿宋_GB2312" w:hAnsi="仿宋_GB2312" w:cs="仿宋_GB2312" w:eastAsia="仿宋_GB2312"/>
        </w:rPr>
        <w:t>门诊楼局部加固工程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【KRDL】K3-2603024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门诊楼局部加固工程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医学院第二附属医院门诊楼局部加固工程需对门诊楼局部基础及墙体进行加固设计及施工，施工完成后可满足科室使用需求，加固面积约950㎡，墙体加固约120㎡。主要建设内容包含门诊楼局部加固设计及施工以及根据项目需求需采取的安全文明措施。供应商需根据实际情况进行设计，需包含恢复原有墙面地面以及采购人要求范围内所包括的内容，包含但不限于设计、设备材料采购、建安工程施工总承包至竣工验收合格及整体移交，工程保修期内缺陷修复和保修工作，具体内容以本项目的磋商文件、答疑文件等文件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1、主体资格要求：供应商为向采购人提供工程及相应服务的法人或其他组织。</w:t>
      </w:r>
    </w:p>
    <w:p>
      <w:pPr>
        <w:pStyle w:val="null3"/>
      </w:pPr>
      <w:r>
        <w:rPr>
          <w:rFonts w:ascii="仿宋_GB2312" w:hAnsi="仿宋_GB2312" w:cs="仿宋_GB2312" w:eastAsia="仿宋_GB2312"/>
        </w:rPr>
        <w:t>2、企业资质要求：供应商具备建设行政主管部门颁发合法有效的特种工程专业承包（结构补强）资质及合法有效的安全生产许可证，同时具备工程设计综合甲级资质或建筑行业设计乙级及以上资质或建筑行业（建筑工程）专业乙级及以上资质，并在人员、设备、资金等方面具备相应的能力。</w:t>
      </w:r>
    </w:p>
    <w:p>
      <w:pPr>
        <w:pStyle w:val="null3"/>
      </w:pPr>
      <w:r>
        <w:rPr>
          <w:rFonts w:ascii="仿宋_GB2312" w:hAnsi="仿宋_GB2312" w:cs="仿宋_GB2312" w:eastAsia="仿宋_GB2312"/>
        </w:rPr>
        <w:t>3、拟派工程总承包项目经理资格及要求：供应商拟派工程总承包项目经理具备建筑工程二级注册建造师及以上或二级注册建筑师及以上或二级注册结构工程师及以上执业资格，未担任其它在建工程的施工项目经理或工程总承包项目经理，且在本单位注册。（工程总承包项目经理与设计项目负责人或施工项目经理可为同一人，但须同时满足其相应资格要求；联合体参与磋商的工程总承包项目经理由该联合体中负责施工任务的成员委派）。</w:t>
      </w:r>
    </w:p>
    <w:p>
      <w:pPr>
        <w:pStyle w:val="null3"/>
      </w:pPr>
      <w:r>
        <w:rPr>
          <w:rFonts w:ascii="仿宋_GB2312" w:hAnsi="仿宋_GB2312" w:cs="仿宋_GB2312" w:eastAsia="仿宋_GB2312"/>
        </w:rPr>
        <w:t>4、拟派设计项目负责人资格及要求：拟派设计项目负责人须具备【二级注册建筑师】及以上或【二级注册结构工程师】及以上执业资格，且在本单位注册。（联合体参与磋商的，拟派设计项目负责人应由该联合体中负责设计任务的成员委派）。</w:t>
      </w:r>
    </w:p>
    <w:p>
      <w:pPr>
        <w:pStyle w:val="null3"/>
      </w:pPr>
      <w:r>
        <w:rPr>
          <w:rFonts w:ascii="仿宋_GB2312" w:hAnsi="仿宋_GB2312" w:cs="仿宋_GB2312" w:eastAsia="仿宋_GB2312"/>
        </w:rPr>
        <w:t>5、拟派施工项目经理资格及要求：拟派施工项目经理须具备【建筑工程二级注册建造师】及以上执业资格，并具有有效的安全生产考核合格证（建安B证），未担任其它在建工程的施工项目经理或工程总承包项目经理，且在本单位注册。（联合体参与磋商的，拟派施工项目经理应由该联合体中负责施工任务的成员委派）。</w:t>
      </w:r>
    </w:p>
    <w:p>
      <w:pPr>
        <w:pStyle w:val="null3"/>
      </w:pPr>
      <w:r>
        <w:rPr>
          <w:rFonts w:ascii="仿宋_GB2312" w:hAnsi="仿宋_GB2312" w:cs="仿宋_GB2312" w:eastAsia="仿宋_GB2312"/>
        </w:rPr>
        <w:t>6、信用资格查询：供应商截止至响应文件递交截止时间之前，未被“信用中国”网站列入失信被执行人、重大税收违法失信主体名单，未被“中国政府采购网”网站列入政府采购严重违法失信行为记录名单，未在“国家企业信用信息公示系统”中被列入严重违法失信名单（黑名单）。（联合体参与磋商的，联合体成员均须满足此要求）。</w:t>
      </w:r>
    </w:p>
    <w:p>
      <w:pPr>
        <w:pStyle w:val="null3"/>
      </w:pPr>
      <w:r>
        <w:rPr>
          <w:rFonts w:ascii="仿宋_GB2312" w:hAnsi="仿宋_GB2312" w:cs="仿宋_GB2312" w:eastAsia="仿宋_GB2312"/>
        </w:rPr>
        <w:t>7、“陕西省住房和城乡建设厅”官网可查询：供应商及拟派工程总承包项目经理、施工项目经理、设计项目负责人须在“陕西省住房和城乡建设厅”官网可查询。如供应商为外省进陕企业，还须同时提供“陕西省住房和城乡建设厅”官网企业库外省进陕施工企业信息首页截图。（联合体参与磋商的，联合体成员均须满足此要求）。</w:t>
      </w:r>
    </w:p>
    <w:p>
      <w:pPr>
        <w:pStyle w:val="null3"/>
      </w:pPr>
      <w:r>
        <w:rPr>
          <w:rFonts w:ascii="仿宋_GB2312" w:hAnsi="仿宋_GB2312" w:cs="仿宋_GB2312" w:eastAsia="仿宋_GB2312"/>
        </w:rPr>
        <w:t>8、是否接受联合体磋商：本项目接受联合体磋商。联合体成员不得超过2家，具体分工以联合体协议约定为准，资质等级按联合协议中的分工对应的单位资质等级进行确定。若联合体磋商时须明确联合体牵头单位，联合体牵头单位（牵头单位须为负责施工部分内容的单位）代表联合体各方办理本项目磋商活动过程中的一切事务，联合体应满足资格审查条件中规定的相应资质。联合体成员应共同签订具有法律效力和有约束力的联合体协议，明确各方权利、义务和分工，并声明承诺联合体各成员方对本次磋商以及成交后签订合同承担全部及连带责任。联合体磋商的由联合体牵头单位负责磋商全过程，包括但不限于报名、文件编制与递交、委托人授权、接收答疑、回复澄清、主张或放弃权利、签字盖章和合同谈判活动，代表联合体提交和接收相关的资料、信息及指示，处理与之有关的一切事务，并负责合同实施阶段的主办、组织和协调工作等磋商与成交后等相关的全部事宜。单位负责人为同一人或者存在控股、管理关系的不同单位，不得参加同一标段磋商或者未划分标段的同一招标项目磋商。如为联合体磋商，联合体内部存在上述控股、管理关系的可正常参与磋商，但联合体成员若与其他联合体的成员之间存在上述控股、管理关系的，则不得参加同一标段投标或者未划分标段的同一招标项目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西安医学院第二附属医院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西安市灞桥区纺织城东街167号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西安医学院第二附属医院经办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029-83513612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张晨、马玉娇、邱斯思、姚瑶、王昭、刘昆、王森、靳祥德、成荔、彭明杨、王莉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029-89563179、13679275911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及国家发展和改革委员会办公厅颁发的《关于招标代理服务收费有关问题的通知》（发改办价格[2003] 857号）的有关规定标准下浮20%向采购代理机构一次付清代理服务费。 （注：代理服务费在缴纳过程中需备注xxxx项目+代理服务费。）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西安医学院第二附属医院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西安医学院第二附属医院</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西安医学院第二附属医院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联系人：张晨、马玉娇</w:t>
      </w:r>
    </w:p>
    <w:p>
      <w:pPr>
        <w:pStyle w:val="null3"/>
      </w:pPr>
      <w:r>
        <w:rPr>
          <w:rFonts w:ascii="仿宋_GB2312" w:hAnsi="仿宋_GB2312" w:cs="仿宋_GB2312" w:eastAsia="仿宋_GB2312"/>
        </w:rPr>
        <w:t>联系电话：029-89563179 13679275911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西安医学院第二附属医院门诊楼局部加固工程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标的名称：西安医学院第二附属医院门诊楼局部加固工程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一、项目内容：</w:t>
            </w:r>
          </w:p>
          <w:p>
            <w:pPr>
              <w:pStyle w:val="null3"/>
            </w:pPr>
            <w:r>
              <w:rPr>
                <w:rFonts w:ascii="仿宋_GB2312" w:hAnsi="仿宋_GB2312" w:cs="仿宋_GB2312" w:eastAsia="仿宋_GB2312"/>
              </w:rPr>
              <w:t>西安医学院第二附属医院门诊楼局部加固工程需对门诊楼局部基础及墙体进行加固设计及施工，施工完成后可满足科室使用需求，加固面积约950㎡，墙体加固约120㎡。主要建设内容包含门诊楼局部加固设计及施工以及根据项目需求需采取的安全文明措施。供应商需根据实际情况进行设计，需包含恢复原有墙面地面以及采购人要求范围内所包括的内容，包含但不限于设计、设备材料采购、建安工程施工总承包至竣工验收合格及整体移交，工程保修期内缺陷修复和保修工作，具体内容以本项目的磋商文件、答疑文件等文件为准。</w:t>
            </w:r>
          </w:p>
          <w:p>
            <w:pPr>
              <w:pStyle w:val="null3"/>
            </w:pPr>
            <w:r>
              <w:rPr>
                <w:rFonts w:ascii="仿宋_GB2312" w:hAnsi="仿宋_GB2312" w:cs="仿宋_GB2312" w:eastAsia="仿宋_GB2312"/>
              </w:rPr>
              <w:t>二、工程技术标准及要求</w:t>
            </w:r>
          </w:p>
          <w:p>
            <w:pPr>
              <w:pStyle w:val="null3"/>
            </w:pPr>
            <w:r>
              <w:rPr>
                <w:rFonts w:ascii="仿宋_GB2312" w:hAnsi="仿宋_GB2312" w:cs="仿宋_GB2312" w:eastAsia="仿宋_GB2312"/>
              </w:rPr>
              <w:t>（一）工程技术标准</w:t>
            </w:r>
          </w:p>
          <w:p>
            <w:pPr>
              <w:pStyle w:val="null3"/>
            </w:pPr>
            <w:r>
              <w:rPr>
                <w:rFonts w:ascii="仿宋_GB2312" w:hAnsi="仿宋_GB2312" w:cs="仿宋_GB2312" w:eastAsia="仿宋_GB2312"/>
              </w:rPr>
              <w:t>1.工程建设需严格执行国家、地方现行的工程建设标准、规范及规程，包括但不限于《建筑结构荷载规范》（GB 50009）、《混凝土结构设计规范》（GB 50010）、《建筑地基基础设计规范》（GB50007）、《建筑抗震设计规范》（GB 50011）等。</w:t>
            </w:r>
          </w:p>
          <w:p>
            <w:pPr>
              <w:pStyle w:val="null3"/>
            </w:pPr>
            <w:r>
              <w:rPr>
                <w:rFonts w:ascii="仿宋_GB2312" w:hAnsi="仿宋_GB2312" w:cs="仿宋_GB2312" w:eastAsia="仿宋_GB2312"/>
              </w:rPr>
              <w:t>2.装修工程应符合《建筑装饰装修工程质量验收标准》（GB 50210）、《建筑内部装修设计防火规范》（GB 50222）等相关标准，选用环保、安全的装修材料，确保室内空气质量符合《室内空气质量标准》（GB/T 18883）要求。</w:t>
            </w:r>
          </w:p>
          <w:p>
            <w:pPr>
              <w:pStyle w:val="null3"/>
            </w:pPr>
            <w:r>
              <w:rPr>
                <w:rFonts w:ascii="仿宋_GB2312" w:hAnsi="仿宋_GB2312" w:cs="仿宋_GB2312" w:eastAsia="仿宋_GB2312"/>
              </w:rPr>
              <w:t>（二）总体要求</w:t>
            </w:r>
          </w:p>
          <w:p>
            <w:pPr>
              <w:pStyle w:val="null3"/>
            </w:pPr>
            <w:r>
              <w:rPr>
                <w:rFonts w:ascii="仿宋_GB2312" w:hAnsi="仿宋_GB2312" w:cs="仿宋_GB2312" w:eastAsia="仿宋_GB2312"/>
              </w:rPr>
              <w:t>1.设计要求：</w:t>
            </w:r>
          </w:p>
          <w:p>
            <w:pPr>
              <w:pStyle w:val="null3"/>
            </w:pPr>
            <w:r>
              <w:rPr>
                <w:rFonts w:ascii="仿宋_GB2312" w:hAnsi="仿宋_GB2312" w:cs="仿宋_GB2312" w:eastAsia="仿宋_GB2312"/>
              </w:rPr>
              <w:t>（1）设计方案应充分考虑文体中心的现状及使用需求，在确保结构安全的前提下，注重功能性、实用性、美观性与经济性的统一；</w:t>
            </w:r>
          </w:p>
          <w:p>
            <w:pPr>
              <w:pStyle w:val="null3"/>
            </w:pPr>
            <w:r>
              <w:rPr>
                <w:rFonts w:ascii="仿宋_GB2312" w:hAnsi="仿宋_GB2312" w:cs="仿宋_GB2312" w:eastAsia="仿宋_GB2312"/>
              </w:rPr>
              <w:t>（2）设计需符合国家及地方相关设计规范、标准，满足环保、节能、消防、安全等要求；</w:t>
            </w:r>
          </w:p>
          <w:p>
            <w:pPr>
              <w:pStyle w:val="null3"/>
            </w:pPr>
            <w:r>
              <w:rPr>
                <w:rFonts w:ascii="仿宋_GB2312" w:hAnsi="仿宋_GB2312" w:cs="仿宋_GB2312" w:eastAsia="仿宋_GB2312"/>
              </w:rPr>
              <w:t>（3）设计方案应具有可操作性，便于施工实施，同时应充分考虑施工过程中对周边环境及医院正常秩序的影响，制定合理的施工组织措施；</w:t>
            </w:r>
          </w:p>
          <w:p>
            <w:pPr>
              <w:pStyle w:val="null3"/>
            </w:pPr>
            <w:r>
              <w:rPr>
                <w:rFonts w:ascii="仿宋_GB2312" w:hAnsi="仿宋_GB2312" w:cs="仿宋_GB2312" w:eastAsia="仿宋_GB2312"/>
              </w:rPr>
              <w:t>（4）设计引用标准为国家现行有关设计技术规范、标准及规程，并且需对施工方进行技术交底。</w:t>
            </w:r>
          </w:p>
          <w:p>
            <w:pPr>
              <w:pStyle w:val="null3"/>
            </w:pPr>
            <w:r>
              <w:rPr>
                <w:rFonts w:ascii="仿宋_GB2312" w:hAnsi="仿宋_GB2312" w:cs="仿宋_GB2312" w:eastAsia="仿宋_GB2312"/>
              </w:rPr>
              <w:t>2.施工要求：</w:t>
            </w:r>
          </w:p>
          <w:p>
            <w:pPr>
              <w:pStyle w:val="null3"/>
            </w:pPr>
            <w:r>
              <w:rPr>
                <w:rFonts w:ascii="仿宋_GB2312" w:hAnsi="仿宋_GB2312" w:cs="仿宋_GB2312" w:eastAsia="仿宋_GB2312"/>
              </w:rPr>
              <w:t>（1）加固工程：</w:t>
            </w:r>
          </w:p>
          <w:p>
            <w:pPr>
              <w:pStyle w:val="null3"/>
            </w:pPr>
            <w:r>
              <w:rPr>
                <w:rFonts w:ascii="仿宋_GB2312" w:hAnsi="仿宋_GB2312" w:cs="仿宋_GB2312" w:eastAsia="仿宋_GB2312"/>
              </w:rPr>
              <w:t>①加固材料（如钢筋、钢板、胶粘剂等）需符合设计及相关标准规定，具有质量证明文件；</w:t>
            </w:r>
          </w:p>
          <w:p>
            <w:pPr>
              <w:pStyle w:val="null3"/>
            </w:pPr>
            <w:r>
              <w:rPr>
                <w:rFonts w:ascii="仿宋_GB2312" w:hAnsi="仿宋_GB2312" w:cs="仿宋_GB2312" w:eastAsia="仿宋_GB2312"/>
              </w:rPr>
              <w:t>②加固施工需严格按照设计图纸及施工规范进行，确保加固后的屋面板承载能力达到设计要求；</w:t>
            </w:r>
          </w:p>
          <w:p>
            <w:pPr>
              <w:pStyle w:val="null3"/>
            </w:pPr>
            <w:r>
              <w:rPr>
                <w:rFonts w:ascii="仿宋_GB2312" w:hAnsi="仿宋_GB2312" w:cs="仿宋_GB2312" w:eastAsia="仿宋_GB2312"/>
              </w:rPr>
              <w:t>（2）梁柱补强：</w:t>
            </w:r>
          </w:p>
          <w:p>
            <w:pPr>
              <w:pStyle w:val="null3"/>
            </w:pPr>
            <w:r>
              <w:rPr>
                <w:rFonts w:ascii="仿宋_GB2312" w:hAnsi="仿宋_GB2312" w:cs="仿宋_GB2312" w:eastAsia="仿宋_GB2312"/>
              </w:rPr>
              <w:t>①补强材料需经检验合格后方可使用，性能满足设计要求；</w:t>
            </w:r>
          </w:p>
          <w:p>
            <w:pPr>
              <w:pStyle w:val="null3"/>
            </w:pPr>
            <w:r>
              <w:rPr>
                <w:rFonts w:ascii="仿宋_GB2312" w:hAnsi="仿宋_GB2312" w:cs="仿宋_GB2312" w:eastAsia="仿宋_GB2312"/>
              </w:rPr>
              <w:t>②补强施工前需对梁柱表面进行处理，确保基层干净、平整；</w:t>
            </w:r>
          </w:p>
          <w:p>
            <w:pPr>
              <w:pStyle w:val="null3"/>
            </w:pPr>
            <w:r>
              <w:rPr>
                <w:rFonts w:ascii="仿宋_GB2312" w:hAnsi="仿宋_GB2312" w:cs="仿宋_GB2312" w:eastAsia="仿宋_GB2312"/>
              </w:rPr>
              <w:t>③补强施工过程中需严格控制施工质量，确保补强层与原结构结合紧密，承载力满足设计标准。</w:t>
            </w:r>
          </w:p>
          <w:p>
            <w:pPr>
              <w:pStyle w:val="null3"/>
            </w:pPr>
            <w:r>
              <w:rPr>
                <w:rFonts w:ascii="仿宋_GB2312" w:hAnsi="仿宋_GB2312" w:cs="仿宋_GB2312" w:eastAsia="仿宋_GB2312"/>
              </w:rPr>
              <w:t>（3）墙面裂缝修复：</w:t>
            </w:r>
          </w:p>
          <w:p>
            <w:pPr>
              <w:pStyle w:val="null3"/>
            </w:pPr>
            <w:r>
              <w:rPr>
                <w:rFonts w:ascii="仿宋_GB2312" w:hAnsi="仿宋_GB2312" w:cs="仿宋_GB2312" w:eastAsia="仿宋_GB2312"/>
              </w:rPr>
              <w:t>①修复前需对裂缝进行详细检测，分析裂缝成因及危害程度，制定针对性的修复方案；</w:t>
            </w:r>
          </w:p>
          <w:p>
            <w:pPr>
              <w:pStyle w:val="null3"/>
            </w:pPr>
            <w:r>
              <w:rPr>
                <w:rFonts w:ascii="仿宋_GB2312" w:hAnsi="仿宋_GB2312" w:cs="仿宋_GB2312" w:eastAsia="仿宋_GB2312"/>
              </w:rPr>
              <w:t>②修复材料需与原墙面材料兼容，修复后墙面平整、无明显痕迹，结构性能得到恢复。</w:t>
            </w:r>
          </w:p>
          <w:p>
            <w:pPr>
              <w:pStyle w:val="null3"/>
            </w:pPr>
            <w:r>
              <w:rPr>
                <w:rFonts w:ascii="仿宋_GB2312" w:hAnsi="仿宋_GB2312" w:cs="仿宋_GB2312" w:eastAsia="仿宋_GB2312"/>
              </w:rPr>
              <w:t>（4）地下水处理：地下水处理方案需根据地质勘察资料及实际情况制定，确保能有效控制地下水位，避免对地基及结构造成再次影响</w:t>
            </w:r>
          </w:p>
          <w:p>
            <w:pPr>
              <w:pStyle w:val="null3"/>
            </w:pPr>
            <w:r>
              <w:rPr>
                <w:rFonts w:ascii="仿宋_GB2312" w:hAnsi="仿宋_GB2312" w:cs="仿宋_GB2312" w:eastAsia="仿宋_GB2312"/>
              </w:rPr>
              <w:t>3.工程质量及验收标准：</w:t>
            </w:r>
          </w:p>
          <w:p>
            <w:pPr>
              <w:pStyle w:val="null3"/>
            </w:pPr>
            <w:r>
              <w:rPr>
                <w:rFonts w:ascii="仿宋_GB2312" w:hAnsi="仿宋_GB2312" w:cs="仿宋_GB2312" w:eastAsia="仿宋_GB2312"/>
              </w:rPr>
              <w:t>（1）施工：满足现行《建筑与市政工程施工质量控制通用规范》的要求，质量验收合格。</w:t>
            </w:r>
          </w:p>
          <w:p>
            <w:pPr>
              <w:pStyle w:val="null3"/>
            </w:pPr>
            <w:r>
              <w:rPr>
                <w:rFonts w:ascii="仿宋_GB2312" w:hAnsi="仿宋_GB2312" w:cs="仿宋_GB2312" w:eastAsia="仿宋_GB2312"/>
              </w:rPr>
              <w:t>（2）设计：施工图设计质量必须满足国家现行工程设计规范标准及满足发包人设计任务书要求，并通过相关部门的审查。</w:t>
            </w:r>
          </w:p>
          <w:p>
            <w:pPr>
              <w:pStyle w:val="null3"/>
            </w:pPr>
            <w:r>
              <w:rPr>
                <w:rFonts w:ascii="仿宋_GB2312" w:hAnsi="仿宋_GB2312" w:cs="仿宋_GB2312" w:eastAsia="仿宋_GB2312"/>
              </w:rPr>
              <w:t>（3）采购：项目所有物资（设备等）采购质量需符合有关标准规范的要求，合格率达到100%。</w:t>
            </w:r>
          </w:p>
          <w:p>
            <w:pPr>
              <w:pStyle w:val="null3"/>
            </w:pPr>
            <w:r>
              <w:rPr>
                <w:rFonts w:ascii="仿宋_GB2312" w:hAnsi="仿宋_GB2312" w:cs="仿宋_GB2312" w:eastAsia="仿宋_GB2312"/>
              </w:rPr>
              <w:t>4.安全生产要求：</w:t>
            </w:r>
          </w:p>
          <w:p>
            <w:pPr>
              <w:pStyle w:val="null3"/>
            </w:pPr>
            <w:r>
              <w:rPr>
                <w:rFonts w:ascii="仿宋_GB2312" w:hAnsi="仿宋_GB2312" w:cs="仿宋_GB2312" w:eastAsia="仿宋_GB2312"/>
              </w:rPr>
              <w:t>（1）供应商应严格遵守国家及地方有关安全生产的法律法规、标准规范，建立健全安全生产管理制度，落实安全生产责任制。</w:t>
            </w:r>
          </w:p>
          <w:p>
            <w:pPr>
              <w:pStyle w:val="null3"/>
            </w:pPr>
            <w:r>
              <w:rPr>
                <w:rFonts w:ascii="仿宋_GB2312" w:hAnsi="仿宋_GB2312" w:cs="仿宋_GB2312" w:eastAsia="仿宋_GB2312"/>
              </w:rPr>
              <w:t>（2）制定详细的安全生产专项方案，包括高处作业安全措施、临时用电安全措施、机械设备安全操作规程等，并严格执行。施工现场应设置明显的安全警示标志，配备必要的安全防护设施，如安全帽、安全带、安全网等，确保施工人员人身安全。</w:t>
            </w:r>
          </w:p>
          <w:p>
            <w:pPr>
              <w:pStyle w:val="null3"/>
            </w:pPr>
            <w:r>
              <w:rPr>
                <w:rFonts w:ascii="仿宋_GB2312" w:hAnsi="仿宋_GB2312" w:cs="仿宋_GB2312" w:eastAsia="仿宋_GB2312"/>
              </w:rPr>
              <w:t>（3）对施工人员进行安全教育培训，特种作业人员必须持证上岗。定期组织安全生产检查，及时发现并消除安全隐患，防止安全事故发生。如发生安全事故，乙方应立即采取有效措施进行救援，并及时向甲方及相关部门报告，承担因事故造成的一切责任及费用。</w:t>
            </w:r>
          </w:p>
          <w:p>
            <w:pPr>
              <w:pStyle w:val="null3"/>
            </w:pPr>
            <w:r>
              <w:rPr>
                <w:rFonts w:ascii="仿宋_GB2312" w:hAnsi="仿宋_GB2312" w:cs="仿宋_GB2312" w:eastAsia="仿宋_GB2312"/>
              </w:rPr>
              <w:t>（4）施工方应派专人完成施工的全部内容，完成工程承包过程中与院方接治的一切事宜，对所承包施工任务的质量，安全生产，文明施工，工程进度等管理工作进行检查和监督，并负责。</w:t>
            </w:r>
          </w:p>
          <w:p>
            <w:pPr>
              <w:pStyle w:val="null3"/>
            </w:pPr>
            <w:r>
              <w:rPr>
                <w:rFonts w:ascii="仿宋_GB2312" w:hAnsi="仿宋_GB2312" w:cs="仿宋_GB2312" w:eastAsia="仿宋_GB2312"/>
              </w:rPr>
              <w:t>（5）进场施工需无条件服从医院管理人员管理，配合相关工作。</w:t>
            </w:r>
          </w:p>
          <w:p>
            <w:pPr>
              <w:pStyle w:val="null3"/>
            </w:pPr>
            <w:r>
              <w:rPr>
                <w:rFonts w:ascii="仿宋_GB2312" w:hAnsi="仿宋_GB2312" w:cs="仿宋_GB2312" w:eastAsia="仿宋_GB2312"/>
              </w:rPr>
              <w:t>5.文明施工要求：</w:t>
            </w:r>
          </w:p>
          <w:p>
            <w:pPr>
              <w:pStyle w:val="null3"/>
            </w:pPr>
            <w:r>
              <w:rPr>
                <w:rFonts w:ascii="仿宋_GB2312" w:hAnsi="仿宋_GB2312" w:cs="仿宋_GB2312" w:eastAsia="仿宋_GB2312"/>
              </w:rPr>
              <w:t>（1）施工现场应设置封闭围挡，围挡高度不低于2.5米，围挡外侧应进行美化装饰，体现医院文化特色。</w:t>
            </w:r>
          </w:p>
          <w:p>
            <w:pPr>
              <w:pStyle w:val="null3"/>
            </w:pPr>
            <w:r>
              <w:rPr>
                <w:rFonts w:ascii="仿宋_GB2312" w:hAnsi="仿宋_GB2312" w:cs="仿宋_GB2312" w:eastAsia="仿宋_GB2312"/>
              </w:rPr>
              <w:t>（2）合理布置施工现场平面，材料、设备应堆放整齐，标识清晰；施工道路应硬化处理，保持畅通；设置专门的垃圾存放点，及时清理施工垃圾，做到工完场清。</w:t>
            </w:r>
          </w:p>
          <w:p>
            <w:pPr>
              <w:pStyle w:val="null3"/>
            </w:pPr>
            <w:r>
              <w:rPr>
                <w:rFonts w:ascii="仿宋_GB2312" w:hAnsi="仿宋_GB2312" w:cs="仿宋_GB2312" w:eastAsia="仿宋_GB2312"/>
              </w:rPr>
              <w:t>（3）采取有效的防尘、降噪、废水处理措施，减少施工对周边环境的影响。施工现场应配备洒水降尘设备，对易产生扬尘的作业面进行洒水降尘；合理安排施工时间，避免在休息时间进行高噪音作业；施工废水需经沉淀处理达标后排放，严禁直接排入下水道。</w:t>
            </w:r>
          </w:p>
          <w:p>
            <w:pPr>
              <w:pStyle w:val="null3"/>
            </w:pPr>
            <w:r>
              <w:rPr>
                <w:rFonts w:ascii="仿宋_GB2312" w:hAnsi="仿宋_GB2312" w:cs="仿宋_GB2312" w:eastAsia="仿宋_GB2312"/>
              </w:rPr>
              <w:t>（4）施工完成后配合院方完成工程结算、工程保修、交付使用等工作,施工完成后若使用期间出现问题负责无条件维修。</w:t>
            </w:r>
          </w:p>
          <w:p>
            <w:pPr>
              <w:pStyle w:val="null3"/>
            </w:pPr>
            <w:r>
              <w:rPr>
                <w:rFonts w:ascii="仿宋_GB2312" w:hAnsi="仿宋_GB2312" w:cs="仿宋_GB2312" w:eastAsia="仿宋_GB2312"/>
              </w:rPr>
              <w:t>（5）施工完成后需出具合格评估报告，所需费用已包含在工程造价中，不再另行计取。</w:t>
            </w:r>
          </w:p>
          <w:p>
            <w:pPr>
              <w:pStyle w:val="null3"/>
            </w:pPr>
            <w:r>
              <w:rPr>
                <w:rFonts w:ascii="仿宋_GB2312" w:hAnsi="仿宋_GB2312" w:cs="仿宋_GB2312" w:eastAsia="仿宋_GB2312"/>
              </w:rPr>
              <w:t>（6）供应商需自行做好前期踏勘，充分了解项目情况，成交后不得因该项目建筑结构久远，图纸缺失，地勘资料不全等现实原因而导致工作滞后、难以推动等问题。</w:t>
            </w:r>
          </w:p>
          <w:p>
            <w:pPr>
              <w:pStyle w:val="null3"/>
            </w:pPr>
            <w:r>
              <w:rPr>
                <w:rFonts w:ascii="仿宋_GB2312" w:hAnsi="仿宋_GB2312" w:cs="仿宋_GB2312" w:eastAsia="仿宋_GB2312"/>
              </w:rPr>
              <w:t>（7）施工产生的水电费用按照审计结算金额的6‰计算，结算时一并扣除。</w:t>
            </w:r>
          </w:p>
          <w:p>
            <w:pPr>
              <w:pStyle w:val="null3"/>
            </w:pPr>
            <w:r>
              <w:rPr>
                <w:rFonts w:ascii="仿宋_GB2312" w:hAnsi="仿宋_GB2312" w:cs="仿宋_GB2312" w:eastAsia="仿宋_GB2312"/>
              </w:rPr>
              <w:t>（8）部分区域需夜间施工，所需夜间施工费用包含在投标报价中，不另外计取。</w:t>
            </w:r>
          </w:p>
          <w:p>
            <w:pPr>
              <w:pStyle w:val="null3"/>
            </w:pPr>
            <w:r>
              <w:rPr>
                <w:rFonts w:ascii="仿宋_GB2312" w:hAnsi="仿宋_GB2312" w:cs="仿宋_GB2312" w:eastAsia="仿宋_GB2312"/>
              </w:rPr>
              <w:t>（9）施工方需承担施工期间区域设备搬移腾挪及成品保护，施工完成后原样恢复，所需费用包含在投标报价中，不另外计取。</w:t>
            </w:r>
          </w:p>
          <w:p>
            <w:pPr>
              <w:pStyle w:val="null3"/>
            </w:pPr>
            <w:r>
              <w:rPr>
                <w:rFonts w:ascii="仿宋_GB2312" w:hAnsi="仿宋_GB2312" w:cs="仿宋_GB2312" w:eastAsia="仿宋_GB2312"/>
              </w:rPr>
              <w:t>6.其他施工要求：</w:t>
            </w:r>
          </w:p>
          <w:p>
            <w:pPr>
              <w:pStyle w:val="null3"/>
            </w:pPr>
            <w:r>
              <w:rPr>
                <w:rFonts w:ascii="仿宋_GB2312" w:hAnsi="仿宋_GB2312" w:cs="仿宋_GB2312" w:eastAsia="仿宋_GB2312"/>
              </w:rPr>
              <w:t>（1）整体施工效果应达到美观、实用、耐用的效果，无明显质量缺陷，如墙面平整无裂缝、地面无空鼓、吊顶牢固无变形等。</w:t>
            </w:r>
          </w:p>
          <w:p>
            <w:pPr>
              <w:pStyle w:val="null3"/>
            </w:pPr>
            <w:r>
              <w:rPr>
                <w:rFonts w:ascii="仿宋_GB2312" w:hAnsi="仿宋_GB2312" w:cs="仿宋_GB2312" w:eastAsia="仿宋_GB2312"/>
              </w:rPr>
              <w:t>（2）设备安装工程应确保设备运行正常、性能良好，符合相关产品质量标准及技术要求。</w:t>
            </w:r>
          </w:p>
          <w:p>
            <w:pPr>
              <w:pStyle w:val="null3"/>
            </w:pPr>
            <w:r>
              <w:rPr>
                <w:rFonts w:ascii="仿宋_GB2312" w:hAnsi="仿宋_GB2312" w:cs="仿宋_GB2312" w:eastAsia="仿宋_GB2312"/>
              </w:rPr>
              <w:t>（三）工程管理要求：</w:t>
            </w:r>
          </w:p>
          <w:p>
            <w:pPr>
              <w:pStyle w:val="null3"/>
            </w:pPr>
            <w:r>
              <w:rPr>
                <w:rFonts w:ascii="仿宋_GB2312" w:hAnsi="仿宋_GB2312" w:cs="仿宋_GB2312" w:eastAsia="仿宋_GB2312"/>
              </w:rPr>
              <w:t>1.本工程采购范围内的工程项目，未经采购人同意一律不得分包。一经发现立即取消承包资格，作违约处理，并承担由此引起的一切经济损失。</w:t>
            </w:r>
          </w:p>
          <w:p>
            <w:pPr>
              <w:pStyle w:val="null3"/>
            </w:pPr>
            <w:r>
              <w:rPr>
                <w:rFonts w:ascii="仿宋_GB2312" w:hAnsi="仿宋_GB2312" w:cs="仿宋_GB2312" w:eastAsia="仿宋_GB2312"/>
              </w:rPr>
              <w:t>2.供应商应严格按已确认施工技术方案组织施工，并无条件地接受采购人代表或监理人对施工质量的监督和管理。施工过程中，施工方必须要严格把关，按照相应规范标准要求施工，如出现不符合标准要求的情况，施工方必须无条件返工，直至达到规范标准要求。所发生的费用均由施工方承担。</w:t>
            </w:r>
          </w:p>
          <w:p>
            <w:pPr>
              <w:pStyle w:val="null3"/>
            </w:pPr>
            <w:r>
              <w:rPr>
                <w:rFonts w:ascii="仿宋_GB2312" w:hAnsi="仿宋_GB2312" w:cs="仿宋_GB2312" w:eastAsia="仿宋_GB2312"/>
              </w:rPr>
              <w:t>3.供应商在响应文件中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pPr>
            <w:r>
              <w:rPr>
                <w:rFonts w:ascii="仿宋_GB2312" w:hAnsi="仿宋_GB2312" w:cs="仿宋_GB2312" w:eastAsia="仿宋_GB2312"/>
              </w:rPr>
              <w:t>4.工程质量保修期内出现问题，供应商应在12小时内做出响应，及时赶到现场，进行免费维修。工程质量保修期外提供电话咨询和技术支持。</w:t>
            </w:r>
          </w:p>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本工程的施工过程和成果必须符合国家有关工程建设标准强制性条文和国家或有关部门关于工程施工方面现行的标准、规范、规程、定额、办法、示例、医疗建筑规范、卫生标准以及陕西省关于工程施工方面的文件、规定，同时满足中华人民共和国住建部发布的《工程建设标准强制性条文》的规定。</w:t>
            </w:r>
          </w:p>
          <w:p>
            <w:pPr>
              <w:pStyle w:val="null3"/>
            </w:pPr>
            <w:r>
              <w:rPr>
                <w:rFonts w:ascii="仿宋_GB2312" w:hAnsi="仿宋_GB2312" w:cs="仿宋_GB2312" w:eastAsia="仿宋_GB2312"/>
              </w:rPr>
              <w:t>2.本工程其他技术标准及要求执行现行规范和采购人实际需求。</w:t>
            </w:r>
          </w:p>
          <w:p>
            <w:pPr>
              <w:pStyle w:val="null3"/>
            </w:pPr>
            <w:r>
              <w:rPr>
                <w:rFonts w:ascii="仿宋_GB2312" w:hAnsi="仿宋_GB2312" w:cs="仿宋_GB2312" w:eastAsia="仿宋_GB2312"/>
              </w:rPr>
              <w:t>3.在施工过程中，如果国家或有关部门颁布了新的技术部分准或规范，则采购人应采用新的标准或规范进行施工。</w:t>
            </w:r>
          </w:p>
          <w:p>
            <w:pPr>
              <w:pStyle w:val="null3"/>
            </w:pPr>
            <w:r>
              <w:rPr>
                <w:rFonts w:ascii="仿宋_GB2312" w:hAnsi="仿宋_GB2312" w:cs="仿宋_GB2312" w:eastAsia="仿宋_GB2312"/>
              </w:rPr>
              <w:t>4.采购人提供工程的施工方案和相关技术文件，是采购人现有的能被供应商利用的资料，采购人对供应商做出的任何推论、理解均不负责任。</w:t>
            </w:r>
          </w:p>
          <w:p>
            <w:pPr>
              <w:pStyle w:val="null3"/>
            </w:pPr>
            <w:r>
              <w:rPr>
                <w:rFonts w:ascii="仿宋_GB2312" w:hAnsi="仿宋_GB2312" w:cs="仿宋_GB2312" w:eastAsia="仿宋_GB2312"/>
              </w:rPr>
              <w:t>5.供应商应先到工地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both"/>
            </w:pPr>
            <w:r>
              <w:rPr>
                <w:rFonts w:ascii="仿宋_GB2312" w:hAnsi="仿宋_GB2312" w:cs="仿宋_GB2312" w:eastAsia="仿宋_GB2312"/>
              </w:rPr>
              <w:t>6.其他要求</w:t>
            </w:r>
          </w:p>
          <w:p>
            <w:pPr>
              <w:pStyle w:val="null3"/>
            </w:pPr>
            <w:r>
              <w:rPr>
                <w:rFonts w:ascii="仿宋_GB2312" w:hAnsi="仿宋_GB2312" w:cs="仿宋_GB2312" w:eastAsia="仿宋_GB2312"/>
              </w:rPr>
              <w:t>（一）、主要材料品质要求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jc w:val="center"/>
                  </w:pPr>
                  <w:r>
                    <w:rPr>
                      <w:rFonts w:ascii="仿宋_GB2312" w:hAnsi="仿宋_GB2312" w:cs="仿宋_GB2312" w:eastAsia="仿宋_GB2312"/>
                    </w:rPr>
                    <w:t>序号</w:t>
                  </w:r>
                </w:p>
              </w:tc>
              <w:tc>
                <w:tcPr>
                  <w:tcW w:type="dxa" w:w="638"/>
                </w:tcPr>
                <w:p>
                  <w:pPr>
                    <w:pStyle w:val="null3"/>
                    <w:jc w:val="center"/>
                  </w:pPr>
                  <w:r>
                    <w:rPr>
                      <w:rFonts w:ascii="仿宋_GB2312" w:hAnsi="仿宋_GB2312" w:cs="仿宋_GB2312" w:eastAsia="仿宋_GB2312"/>
                    </w:rPr>
                    <w:t>主要材料</w:t>
                  </w:r>
                </w:p>
              </w:tc>
              <w:tc>
                <w:tcPr>
                  <w:tcW w:type="dxa" w:w="638"/>
                </w:tcPr>
                <w:p>
                  <w:pPr>
                    <w:pStyle w:val="null3"/>
                    <w:jc w:val="center"/>
                  </w:pPr>
                  <w:r>
                    <w:rPr>
                      <w:rFonts w:ascii="仿宋_GB2312" w:hAnsi="仿宋_GB2312" w:cs="仿宋_GB2312" w:eastAsia="仿宋_GB2312"/>
                    </w:rPr>
                    <w:t>品质要求</w:t>
                  </w:r>
                </w:p>
              </w:tc>
              <w:tc>
                <w:tcPr>
                  <w:tcW w:type="dxa" w:w="638"/>
                </w:tcPr>
                <w:p>
                  <w:pPr>
                    <w:pStyle w:val="null3"/>
                    <w:jc w:val="center"/>
                  </w:pPr>
                  <w:r>
                    <w:rPr>
                      <w:rFonts w:ascii="仿宋_GB2312" w:hAnsi="仿宋_GB2312" w:cs="仿宋_GB2312" w:eastAsia="仿宋_GB2312"/>
                    </w:rPr>
                    <w:t>备注</w:t>
                  </w:r>
                </w:p>
              </w:tc>
            </w:tr>
            <w:tr>
              <w:tc>
                <w:tcPr>
                  <w:tcW w:type="dxa" w:w="638"/>
                </w:tcPr>
                <w:p>
                  <w:pPr>
                    <w:pStyle w:val="null3"/>
                    <w:jc w:val="center"/>
                  </w:pPr>
                  <w:r>
                    <w:rPr>
                      <w:rFonts w:ascii="仿宋_GB2312" w:hAnsi="仿宋_GB2312" w:cs="仿宋_GB2312" w:eastAsia="仿宋_GB2312"/>
                    </w:rPr>
                    <w:t>1</w:t>
                  </w:r>
                </w:p>
              </w:tc>
              <w:tc>
                <w:tcPr>
                  <w:tcW w:type="dxa" w:w="638"/>
                </w:tcPr>
                <w:p>
                  <w:pPr>
                    <w:pStyle w:val="null3"/>
                    <w:jc w:val="center"/>
                  </w:pPr>
                  <w:r>
                    <w:rPr>
                      <w:rFonts w:ascii="仿宋_GB2312" w:hAnsi="仿宋_GB2312" w:cs="仿宋_GB2312" w:eastAsia="仿宋_GB2312"/>
                    </w:rPr>
                    <w:t>水泥</w:t>
                  </w:r>
                </w:p>
              </w:tc>
              <w:tc>
                <w:tcPr>
                  <w:tcW w:type="dxa" w:w="638"/>
                </w:tcPr>
                <w:p>
                  <w:pPr>
                    <w:pStyle w:val="null3"/>
                    <w:jc w:val="center"/>
                  </w:pPr>
                  <w:r>
                    <w:rPr>
                      <w:rFonts w:ascii="仿宋_GB2312" w:hAnsi="仿宋_GB2312" w:cs="仿宋_GB2312" w:eastAsia="仿宋_GB2312"/>
                    </w:rPr>
                    <w:t>应当使用的品质要求不低于海螺、冀东、盾石、尧柏</w:t>
                  </w:r>
                </w:p>
              </w:tc>
              <w:tc>
                <w:tcPr>
                  <w:tcW w:type="dxa" w:w="638"/>
                </w:tcPr>
                <w:p>
                  <w:pPr>
                    <w:pStyle w:val="null3"/>
                    <w:jc w:val="center"/>
                  </w:pPr>
                  <w:r>
                    <w:rPr>
                      <w:rFonts w:ascii="仿宋_GB2312" w:hAnsi="仿宋_GB2312" w:cs="仿宋_GB2312" w:eastAsia="仿宋_GB2312"/>
                    </w:rPr>
                    <w:t xml:space="preserve"> </w:t>
                  </w:r>
                </w:p>
              </w:tc>
            </w:tr>
          </w:tbl>
          <w:p>
            <w:pPr>
              <w:pStyle w:val="null3"/>
              <w:jc w:val="center"/>
            </w:pPr>
            <w:r>
              <w:rPr>
                <w:rFonts w:ascii="仿宋_GB2312" w:hAnsi="仿宋_GB2312" w:cs="仿宋_GB2312" w:eastAsia="仿宋_GB2312"/>
              </w:rPr>
              <w:t>供应商应当使用以上的主要材料品质要求，采购人有权在磋商阶段、施工图设计及实施阶段中增加、减少或修正相关内容，在施工图预算编制核对时，采购人有权指定相应的主要材料中的任意品质要求或其他同档次品质要求，且成交价及结算价格不做任何调整。</w:t>
            </w:r>
          </w:p>
          <w:p>
            <w:pPr>
              <w:pStyle w:val="null3"/>
              <w:jc w:val="center"/>
            </w:pPr>
            <w:r>
              <w:rPr>
                <w:rFonts w:ascii="仿宋_GB2312" w:hAnsi="仿宋_GB2312" w:cs="仿宋_GB2312" w:eastAsia="仿宋_GB2312"/>
              </w:rPr>
              <w:t>（二）、暂估内容明细表</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jc w:val="center"/>
                  </w:pPr>
                  <w:r>
                    <w:rPr>
                      <w:rFonts w:ascii="仿宋_GB2312" w:hAnsi="仿宋_GB2312" w:cs="仿宋_GB2312" w:eastAsia="仿宋_GB2312"/>
                    </w:rPr>
                    <w:t>序号</w:t>
                  </w:r>
                </w:p>
              </w:tc>
              <w:tc>
                <w:tcPr>
                  <w:tcW w:type="dxa" w:w="638"/>
                </w:tcPr>
                <w:p>
                  <w:pPr>
                    <w:pStyle w:val="null3"/>
                    <w:jc w:val="center"/>
                  </w:pPr>
                  <w:r>
                    <w:rPr>
                      <w:rFonts w:ascii="仿宋_GB2312" w:hAnsi="仿宋_GB2312" w:cs="仿宋_GB2312" w:eastAsia="仿宋_GB2312"/>
                    </w:rPr>
                    <w:t>暂估内容</w:t>
                  </w:r>
                </w:p>
              </w:tc>
              <w:tc>
                <w:tcPr>
                  <w:tcW w:type="dxa" w:w="638"/>
                </w:tcPr>
                <w:p>
                  <w:pPr>
                    <w:pStyle w:val="null3"/>
                    <w:jc w:val="center"/>
                  </w:pPr>
                  <w:r>
                    <w:rPr>
                      <w:rFonts w:ascii="仿宋_GB2312" w:hAnsi="仿宋_GB2312" w:cs="仿宋_GB2312" w:eastAsia="仿宋_GB2312"/>
                    </w:rPr>
                    <w:t>工程量（暂估）</w:t>
                  </w:r>
                </w:p>
              </w:tc>
              <w:tc>
                <w:tcPr>
                  <w:tcW w:type="dxa" w:w="638"/>
                </w:tcPr>
                <w:p>
                  <w:pPr>
                    <w:pStyle w:val="null3"/>
                    <w:jc w:val="center"/>
                  </w:pPr>
                  <w:r>
                    <w:rPr>
                      <w:rFonts w:ascii="仿宋_GB2312" w:hAnsi="仿宋_GB2312" w:cs="仿宋_GB2312" w:eastAsia="仿宋_GB2312"/>
                    </w:rPr>
                    <w:t>单位</w:t>
                  </w:r>
                </w:p>
              </w:tc>
            </w:tr>
            <w:tr>
              <w:tc>
                <w:tcPr>
                  <w:tcW w:type="dxa" w:w="638"/>
                </w:tcPr>
                <w:p>
                  <w:pPr>
                    <w:pStyle w:val="null3"/>
                    <w:jc w:val="center"/>
                  </w:pPr>
                  <w:r>
                    <w:rPr>
                      <w:rFonts w:ascii="仿宋_GB2312" w:hAnsi="仿宋_GB2312" w:cs="仿宋_GB2312" w:eastAsia="仿宋_GB2312"/>
                    </w:rPr>
                    <w:t>1</w:t>
                  </w:r>
                </w:p>
              </w:tc>
              <w:tc>
                <w:tcPr>
                  <w:tcW w:type="dxa" w:w="638"/>
                </w:tcPr>
                <w:p>
                  <w:pPr>
                    <w:pStyle w:val="null3"/>
                    <w:jc w:val="center"/>
                  </w:pPr>
                  <w:r>
                    <w:rPr>
                      <w:rFonts w:ascii="仿宋_GB2312" w:hAnsi="仿宋_GB2312" w:cs="仿宋_GB2312" w:eastAsia="仿宋_GB2312"/>
                    </w:rPr>
                    <w:t>基础加固</w:t>
                  </w:r>
                </w:p>
              </w:tc>
              <w:tc>
                <w:tcPr>
                  <w:tcW w:type="dxa" w:w="638"/>
                </w:tcPr>
                <w:p>
                  <w:pPr>
                    <w:pStyle w:val="null3"/>
                    <w:jc w:val="center"/>
                  </w:pPr>
                  <w:r>
                    <w:rPr>
                      <w:rFonts w:ascii="仿宋_GB2312" w:hAnsi="仿宋_GB2312" w:cs="仿宋_GB2312" w:eastAsia="仿宋_GB2312"/>
                    </w:rPr>
                    <w:t>950</w:t>
                  </w:r>
                </w:p>
              </w:tc>
              <w:tc>
                <w:tcPr>
                  <w:tcW w:type="dxa" w:w="638"/>
                </w:tcPr>
                <w:p>
                  <w:pPr>
                    <w:pStyle w:val="null3"/>
                    <w:jc w:val="center"/>
                  </w:pPr>
                  <w:r>
                    <w:rPr>
                      <w:rFonts w:ascii="仿宋_GB2312" w:hAnsi="仿宋_GB2312" w:cs="仿宋_GB2312" w:eastAsia="仿宋_GB2312"/>
                    </w:rPr>
                    <w:t>m2</w:t>
                  </w:r>
                </w:p>
              </w:tc>
            </w:tr>
            <w:tr>
              <w:tc>
                <w:tcPr>
                  <w:tcW w:type="dxa" w:w="638"/>
                </w:tcPr>
                <w:p>
                  <w:pPr>
                    <w:pStyle w:val="null3"/>
                    <w:jc w:val="center"/>
                  </w:pPr>
                  <w:r>
                    <w:rPr>
                      <w:rFonts w:ascii="仿宋_GB2312" w:hAnsi="仿宋_GB2312" w:cs="仿宋_GB2312" w:eastAsia="仿宋_GB2312"/>
                    </w:rPr>
                    <w:t>2</w:t>
                  </w:r>
                </w:p>
              </w:tc>
              <w:tc>
                <w:tcPr>
                  <w:tcW w:type="dxa" w:w="638"/>
                </w:tcPr>
                <w:p>
                  <w:pPr>
                    <w:pStyle w:val="null3"/>
                    <w:jc w:val="center"/>
                  </w:pPr>
                  <w:r>
                    <w:rPr>
                      <w:rFonts w:ascii="仿宋_GB2312" w:hAnsi="仿宋_GB2312" w:cs="仿宋_GB2312" w:eastAsia="仿宋_GB2312"/>
                    </w:rPr>
                    <w:t>墙面加固</w:t>
                  </w:r>
                </w:p>
              </w:tc>
              <w:tc>
                <w:tcPr>
                  <w:tcW w:type="dxa" w:w="638"/>
                </w:tcPr>
                <w:p>
                  <w:pPr>
                    <w:pStyle w:val="null3"/>
                    <w:jc w:val="center"/>
                  </w:pPr>
                  <w:r>
                    <w:rPr>
                      <w:rFonts w:ascii="仿宋_GB2312" w:hAnsi="仿宋_GB2312" w:cs="仿宋_GB2312" w:eastAsia="仿宋_GB2312"/>
                    </w:rPr>
                    <w:t>120</w:t>
                  </w:r>
                </w:p>
              </w:tc>
              <w:tc>
                <w:tcPr>
                  <w:tcW w:type="dxa" w:w="638"/>
                </w:tcPr>
                <w:p>
                  <w:pPr>
                    <w:pStyle w:val="null3"/>
                    <w:jc w:val="center"/>
                  </w:pPr>
                  <w:r>
                    <w:rPr>
                      <w:rFonts w:ascii="仿宋_GB2312" w:hAnsi="仿宋_GB2312" w:cs="仿宋_GB2312" w:eastAsia="仿宋_GB2312"/>
                    </w:rPr>
                    <w:t>m2</w:t>
                  </w:r>
                </w:p>
              </w:tc>
            </w:tr>
            <w:tr>
              <w:tc>
                <w:tcPr>
                  <w:tcW w:type="dxa" w:w="638"/>
                </w:tcPr>
                <w:p>
                  <w:pPr>
                    <w:pStyle w:val="null3"/>
                    <w:jc w:val="center"/>
                  </w:pPr>
                  <w:r>
                    <w:rPr>
                      <w:rFonts w:ascii="仿宋_GB2312" w:hAnsi="仿宋_GB2312" w:cs="仿宋_GB2312" w:eastAsia="仿宋_GB2312"/>
                    </w:rPr>
                    <w:t>3</w:t>
                  </w:r>
                </w:p>
              </w:tc>
              <w:tc>
                <w:tcPr>
                  <w:tcW w:type="dxa" w:w="638"/>
                </w:tcPr>
                <w:p>
                  <w:pPr>
                    <w:pStyle w:val="null3"/>
                    <w:jc w:val="center"/>
                  </w:pPr>
                  <w:r>
                    <w:rPr>
                      <w:rFonts w:ascii="仿宋_GB2312" w:hAnsi="仿宋_GB2312" w:cs="仿宋_GB2312" w:eastAsia="仿宋_GB2312"/>
                    </w:rPr>
                    <w:t>楼板加固</w:t>
                  </w:r>
                </w:p>
              </w:tc>
              <w:tc>
                <w:tcPr>
                  <w:tcW w:type="dxa" w:w="638"/>
                </w:tcPr>
                <w:p>
                  <w:pPr>
                    <w:pStyle w:val="null3"/>
                    <w:jc w:val="center"/>
                  </w:pPr>
                  <w:r>
                    <w:rPr>
                      <w:rFonts w:ascii="仿宋_GB2312" w:hAnsi="仿宋_GB2312" w:cs="仿宋_GB2312" w:eastAsia="仿宋_GB2312"/>
                    </w:rPr>
                    <w:t>7</w:t>
                  </w:r>
                </w:p>
              </w:tc>
              <w:tc>
                <w:tcPr>
                  <w:tcW w:type="dxa" w:w="638"/>
                </w:tcPr>
                <w:p>
                  <w:pPr>
                    <w:pStyle w:val="null3"/>
                    <w:jc w:val="center"/>
                  </w:pPr>
                  <w:r>
                    <w:rPr>
                      <w:rFonts w:ascii="仿宋_GB2312" w:hAnsi="仿宋_GB2312" w:cs="仿宋_GB2312" w:eastAsia="仿宋_GB2312"/>
                    </w:rPr>
                    <w:t>m2</w:t>
                  </w:r>
                </w:p>
              </w:tc>
            </w:tr>
            <w:tr>
              <w:tc>
                <w:tcPr>
                  <w:tcW w:type="dxa" w:w="638"/>
                </w:tcPr>
                <w:p>
                  <w:pPr>
                    <w:pStyle w:val="null3"/>
                    <w:jc w:val="center"/>
                  </w:pPr>
                  <w:r>
                    <w:rPr>
                      <w:rFonts w:ascii="仿宋_GB2312" w:hAnsi="仿宋_GB2312" w:cs="仿宋_GB2312" w:eastAsia="仿宋_GB2312"/>
                    </w:rPr>
                    <w:t>4</w:t>
                  </w:r>
                </w:p>
              </w:tc>
              <w:tc>
                <w:tcPr>
                  <w:tcW w:type="dxa" w:w="638"/>
                </w:tcPr>
                <w:p>
                  <w:pPr>
                    <w:pStyle w:val="null3"/>
                    <w:jc w:val="center"/>
                  </w:pPr>
                  <w:r>
                    <w:rPr>
                      <w:rFonts w:ascii="仿宋_GB2312" w:hAnsi="仿宋_GB2312" w:cs="仿宋_GB2312" w:eastAsia="仿宋_GB2312"/>
                    </w:rPr>
                    <w:t>墙面恢复</w:t>
                  </w:r>
                </w:p>
              </w:tc>
              <w:tc>
                <w:tcPr>
                  <w:tcW w:type="dxa" w:w="638"/>
                </w:tcPr>
                <w:p>
                  <w:pPr>
                    <w:pStyle w:val="null3"/>
                    <w:jc w:val="center"/>
                  </w:pPr>
                  <w:r>
                    <w:rPr>
                      <w:rFonts w:ascii="仿宋_GB2312" w:hAnsi="仿宋_GB2312" w:cs="仿宋_GB2312" w:eastAsia="仿宋_GB2312"/>
                    </w:rPr>
                    <w:t>120</w:t>
                  </w:r>
                </w:p>
              </w:tc>
              <w:tc>
                <w:tcPr>
                  <w:tcW w:type="dxa" w:w="638"/>
                </w:tcPr>
                <w:p>
                  <w:pPr>
                    <w:pStyle w:val="null3"/>
                    <w:jc w:val="center"/>
                  </w:pPr>
                  <w:r>
                    <w:rPr>
                      <w:rFonts w:ascii="仿宋_GB2312" w:hAnsi="仿宋_GB2312" w:cs="仿宋_GB2312" w:eastAsia="仿宋_GB2312"/>
                    </w:rPr>
                    <w:t>m2</w:t>
                  </w:r>
                </w:p>
              </w:tc>
            </w:tr>
            <w:tr>
              <w:tc>
                <w:tcPr>
                  <w:tcW w:type="dxa" w:w="638"/>
                </w:tcPr>
                <w:p>
                  <w:pPr>
                    <w:pStyle w:val="null3"/>
                    <w:jc w:val="center"/>
                  </w:pPr>
                  <w:r>
                    <w:rPr>
                      <w:rFonts w:ascii="仿宋_GB2312" w:hAnsi="仿宋_GB2312" w:cs="仿宋_GB2312" w:eastAsia="仿宋_GB2312"/>
                    </w:rPr>
                    <w:t>5</w:t>
                  </w:r>
                </w:p>
              </w:tc>
              <w:tc>
                <w:tcPr>
                  <w:tcW w:type="dxa" w:w="638"/>
                </w:tcPr>
                <w:p>
                  <w:pPr>
                    <w:pStyle w:val="null3"/>
                    <w:jc w:val="center"/>
                  </w:pPr>
                  <w:r>
                    <w:rPr>
                      <w:rFonts w:ascii="仿宋_GB2312" w:hAnsi="仿宋_GB2312" w:cs="仿宋_GB2312" w:eastAsia="仿宋_GB2312"/>
                    </w:rPr>
                    <w:t>地面恢复</w:t>
                  </w:r>
                </w:p>
              </w:tc>
              <w:tc>
                <w:tcPr>
                  <w:tcW w:type="dxa" w:w="638"/>
                </w:tcPr>
                <w:p>
                  <w:pPr>
                    <w:pStyle w:val="null3"/>
                    <w:jc w:val="center"/>
                  </w:pPr>
                  <w:r>
                    <w:rPr>
                      <w:rFonts w:ascii="仿宋_GB2312" w:hAnsi="仿宋_GB2312" w:cs="仿宋_GB2312" w:eastAsia="仿宋_GB2312"/>
                    </w:rPr>
                    <w:t>950</w:t>
                  </w:r>
                </w:p>
              </w:tc>
              <w:tc>
                <w:tcPr>
                  <w:tcW w:type="dxa" w:w="638"/>
                </w:tcPr>
                <w:p>
                  <w:pPr>
                    <w:pStyle w:val="null3"/>
                    <w:jc w:val="center"/>
                  </w:pPr>
                  <w:r>
                    <w:rPr>
                      <w:rFonts w:ascii="仿宋_GB2312" w:hAnsi="仿宋_GB2312" w:cs="仿宋_GB2312" w:eastAsia="仿宋_GB2312"/>
                    </w:rPr>
                    <w:t>m2</w:t>
                  </w:r>
                </w:p>
              </w:tc>
            </w:tr>
            <w:tr>
              <w:tc>
                <w:tcPr>
                  <w:tcW w:type="dxa" w:w="638"/>
                </w:tcPr>
                <w:p>
                  <w:pPr>
                    <w:pStyle w:val="null3"/>
                    <w:jc w:val="center"/>
                  </w:pPr>
                  <w:r>
                    <w:rPr>
                      <w:rFonts w:ascii="仿宋_GB2312" w:hAnsi="仿宋_GB2312" w:cs="仿宋_GB2312" w:eastAsia="仿宋_GB2312"/>
                    </w:rPr>
                    <w:t>6</w:t>
                  </w:r>
                </w:p>
              </w:tc>
              <w:tc>
                <w:tcPr>
                  <w:tcW w:type="dxa" w:w="638"/>
                </w:tcPr>
                <w:p>
                  <w:pPr>
                    <w:pStyle w:val="null3"/>
                    <w:jc w:val="center"/>
                  </w:pPr>
                  <w:r>
                    <w:rPr>
                      <w:rFonts w:ascii="仿宋_GB2312" w:hAnsi="仿宋_GB2312" w:cs="仿宋_GB2312" w:eastAsia="仿宋_GB2312"/>
                    </w:rPr>
                    <w:t>水电修复</w:t>
                  </w:r>
                </w:p>
              </w:tc>
              <w:tc>
                <w:tcPr>
                  <w:tcW w:type="dxa" w:w="638"/>
                </w:tcPr>
                <w:p>
                  <w:pPr>
                    <w:pStyle w:val="null3"/>
                    <w:jc w:val="center"/>
                  </w:pPr>
                  <w:r>
                    <w:rPr>
                      <w:rFonts w:ascii="仿宋_GB2312" w:hAnsi="仿宋_GB2312" w:cs="仿宋_GB2312" w:eastAsia="仿宋_GB2312"/>
                    </w:rPr>
                    <w:t>1</w:t>
                  </w:r>
                </w:p>
              </w:tc>
              <w:tc>
                <w:tcPr>
                  <w:tcW w:type="dxa" w:w="638"/>
                </w:tcPr>
                <w:p>
                  <w:pPr>
                    <w:pStyle w:val="null3"/>
                    <w:jc w:val="center"/>
                  </w:pPr>
                  <w:r>
                    <w:rPr>
                      <w:rFonts w:ascii="仿宋_GB2312" w:hAnsi="仿宋_GB2312" w:cs="仿宋_GB2312" w:eastAsia="仿宋_GB2312"/>
                    </w:rPr>
                    <w:t>项</w:t>
                  </w:r>
                </w:p>
              </w:tc>
            </w:tr>
            <w:tr>
              <w:tc>
                <w:tcPr>
                  <w:tcW w:type="dxa" w:w="2552"/>
                  <w:gridSpan w:val="4"/>
                </w:tcPr>
                <w:p>
                  <w:pPr>
                    <w:pStyle w:val="null3"/>
                  </w:pPr>
                  <w:r>
                    <w:rPr>
                      <w:rFonts w:ascii="仿宋_GB2312" w:hAnsi="仿宋_GB2312" w:cs="仿宋_GB2312" w:eastAsia="仿宋_GB2312"/>
                    </w:rPr>
                    <w:t>以上暂估内容的费用包含在建筑安装工程费里，在项目实施过程中待施工图纸审定后，根据实际实施工程量据实结算，但供应商的响应报价不得超出建筑安装工程费，如超出，由供应商自行承担。采购人可根据施工图和工程实际情况对上述工程量进行增减，确定最终工程量。供应商在投标时需结合本项目实际情况和企业自身经验综合考虑投标报价。</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施工：满足现行《建筑与市政工程施工质量控制通用规范》的要求，质量验收合格。 设计：施工图设计质量必须满足国家现行工程设计规范标准及满足发包人设计任务书要求，并通过相关部门的审查。 采购：项目所有物资（设备等）采购质量需符合有关标准规范的要求，合格率达到100%。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1.工期：自合同签订之日起60个日历日内完工。 2.质量保修期：自竣工验收合格之日起2年（防水工程质保5年）。 3.本项目实际现有情况即为施工现场交付情况，各供应商综合考虑投标报价，采购人后期不再另行支付费用。 4.本项目的最高限价： 本项目最高限价总价（含规费税金）为： 大写：壹佰贰拾万元整； 小写：￥1200000.00元； 其中： ①设计费（含规费税金）： 大写：贰万伍仟元整； 小写：￥25000.00元； ②建筑安装工程费（含规费税金）： 大写：壹佰零柒万伍仟元整； 小写：￥1075000.00元； ③暂列金额（含规费税金）： 大写：壹拾万元整； 小写：￥100000.00元； 备注：①磋商报价不得高于最高投标限价（总价）及相应的各分项最高投标限价，否则按无效响应处理。 ②暂列金额按采购人给定金额填报，不允许做任何调整，否则按无效响应处理。 5.联合体参与本项目投标的，响应文件中除联合体协议（全部成员按照格式要求分别加盖印章）外，其他要求加盖企业印章处均只需加盖联合体牵头单位印章，需要法定代表人签字的，仅需由联合体牵头单位法定代表人签字，需要委托代理人签字的，仅需由联合体牵头单位委托代理人签字，其他按照本项目竞争性磋商文件要求执行。 因交易平台系统原因，联合体协议书由联合体成员按照本文件要求进行签字盖章后以扫描件的形式附至于响应文件中。 6.付款方式：自签订合同之日起分4次进行支付，分别是：第1次：供应商设计方案完成后支付合同总价的10% ；第2次 竣工验收完成后支付合同总价的70%；第3次 竣工结算审计完成并且竣工资料归档手续完成后累计付至工程结算审计金额的97%；第4次 贰年后累计付至工程结算审计金额的100% ，每次付款前需供应商提交同等金额的发票。 7.施工产生的水电费用按照审计结算金额的6‰计算，结算时一并扣除。 8.响应报价内容按照本项目本文件响应文件格式“报价明细表”中给定的格式内容及要求进行填写，不得修改或删减。 注：在磋商二次报价环节，供应商仍按照以上要求进行填报二次磋商报价并将“报价明细表”上传至二次报价环节系统内（因本项目为电子标，供应商应综合考虑报价时间，将“报价明细表”的设计费、建筑安装工程费、暂列金填写，等待系统提示上传，如因供应商自身原因，未按要求上传“报价明细表”或者未按系统设置的响应时间内进行上传，将按无效响应处理，供应商自行承担责任。） 9.供应商以联合体形式参与投标的，需在中小企业声明函中分别填写联合体牵头单位以及联合体成员的相关信息。</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1报价要求： 1.1供应商的响应总报价应综合考虑本项目竞争性磋商文件中提出的各项费用支出。供应商应充分考虑材料价格、工期定额、资金拨付、政策性调整等未知风险因素。 1.2填报响应总报价的同时，需要分别填报建筑安装工程费、设计费及暂列金额的报价，且以上三个分项报价中均包含规费税金，工程总承包单位管理费在以上报价中综合考虑，不再另行填报或计算。工程费用中，必须按照竞争性磋商文件要求的内容及金额列入暂估内容。 1.3设计费报价采用固定总价包干的方式，由供应商根据竞争性磋商文件第三章 磋商项目技术、服务、商务及其他要求“3.1技术、服务标准和要求”、参考《国家发展改革委关于进一步放开建设项目专业服务价格的通知》发改价格[2015] 299号，并参照国家计委、建设部《工程勘察设计收费管理规定》计价格［2002］10号等文件填报，是完成本项目所有服务内容的价格体现，同时需充分考虑各种风险因素、采购人要求的设计变更等因素自主报价。 其中包含但不限于施工图设计、施工图优化、采购人要求的设计变更、实施过程设计配合等项目交付前所有的设计相关费用，如直接费用、间接费用、税金、利润、相关配合服务工作及合同约定的其他服务等。 设计费报价不得超过本项目设计费的最高限价，否则按无效响应处理。 1.4建筑安装工程费报价由供应商根据本项目竞争性磋商文件及其企业自身管理水平、能力，自主报价，采用固定总价模式，供应商充分考虑定额人工费调价、材料价格波动、工期定额、资金拨付、政策性调整等全部未知风险因素，在项目实施过程中不在因为其它任何因素调整价格。 建筑安装工程费报价不得超过本项目设计费的最高限价，否则按无效响应处理。 1.5暂列金额按照采购人给定金额计取，否则按无效响应处理。 1.6本项目的磋商总报价及分项报价中，均应包含竞争性磋商文件中所涉及的全部工作内容以及设计、施工、设备材料采购供应、设备操作人员和维护人员的培训、验收、竣工资料的汇总移交等完成该项目的直接费、间接费、总承包管理费、措施项目费、利润、税金和其他费用，并全面考虑竞争性磋商文件明示、暗示及其他约定的所有风险、责任和义务等的费用。 1.7供应商所涉及的主要材料，在施工图预算编制、核对及确定时候，采购人有权对主要材料的品质指定品质要求和型号，并按照此标准计价并实施，采购人不承担由此带来的造价控制风险。未推荐品质要求的，在施工图预算确定阶段，采购人有权按照第三章技术要求中约定确定品质型号及价格，且采购人不承担由此带来的造价控制风险。货物的价格应包括全部货物的从制造厂至项目现场的货物价格、运费、保险费及保管的全部价格，加上全部增值税和其他与所提供货物有关的全部税费的总合。 1.8每个供应商对本工程只允许有一个报价，采购人不接受有任何选择的报价。 1.9成交的建筑安装工程费用即为设计限额，供应商签订合同后根据成交后确定的设计限额进行施工图设计，施工图设计完成且采购人确认同意后，随即开始施工图清单预算的审核。供应商每次向采购人提供的施工图设计文件需配有相应阶段符合现行国家造价规范施工图预算及编制说明。施工图清单预算的编制及审核依据陕建管发（2025）10号文件所规定的“2025陕西省建设工程费用规则等计价依据”，结合本项目拟签订合同中的有关约定进行编制和审核。 采购人进行图纸的审核，目的在于审查图纸功能及内容是否满足采购人要求，并不因此承担设计工作的责任，设计缺陷及合法合规性责任仍由承包人承担。 1.10采购人进行清单预算的审核是对于造价是否满足设计限额而进行的审核，如核算后超过给定设计限额的，超过部分不予认可，未达到相应限额的，按照实际核算确定的金额结算。 施工图清单预算一经核对确定，确定后的建筑安装工程费用价款不再进行调整。 施工图清单预算一经核对确定，出现设计疏漏导致需要变更的或设计无法实现需调整设计方案的，责任由供应商承担，采购人不予增加费用。 经采购人确认的施工图纸，按照本合同明确的核算方式组价后，核算金额超过本项目建筑安装工程费用设计限额的，超过部分费用采购人不予认可，由供应商自行承担。但核算后金额低于本合同协议书中载明的建筑安装工程费用的，采购人有权要求调整图纸或按照核算后金额确定本项目建筑安装工程费用价款。 1.11供应商在磋商报价时综合考虑政策性调价因素，在项目实施过程中不再进行价格调整。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 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场监督管理总局联合印发《关于调整优化节能产品、环境标志产品政府采购执行机制的通知》（财库〔2019〕9号）； （4）《陕西省财政厅关于加快推进我省中小企业政府采购信用融资工作的通知》（陕财办采〔2020〕15号）、陕西省财政厅关于印发《陕西省中小企业政府采购信用融资办法》（陕财办采〔2018〕23号）； （5）其他需要落实的政府采购政策；（6）本项目非专门面向中小企业采购。</w:t>
            </w:r>
          </w:p>
        </w:tc>
        <w:tc>
          <w:tcPr>
            <w:tcW w:type="dxa" w:w="1661"/>
          </w:tcPr>
          <w:p>
            <w:pPr>
              <w:pStyle w:val="null3"/>
            </w:pPr>
            <w:r>
              <w:rPr>
                <w:rFonts w:ascii="仿宋_GB2312" w:hAnsi="仿宋_GB2312" w:cs="仿宋_GB2312" w:eastAsia="仿宋_GB2312"/>
              </w:rPr>
              <w:t>响应文件封面 中小企业声明函（联合体牵头单位及成员）.docx 中小企业声明函 残疾人福利性单位声明函 监狱企业的证明文件 强制优先采购产品承诺函</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主体资格要求</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供应商应提交的相关资格证明材料（含联合体协议）.docx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具备建设行政主管部门颁发合法有效的特种工程专业承包（结构补强）资质及合法有效的安全生产许可证，同时具备工程设计综合甲级资质或建筑行业设计乙级及以上资质或建筑行业（建筑工程）专业乙级及以上资质，并在人员、设备、资金等方面具备相应的能力。</w:t>
            </w:r>
          </w:p>
        </w:tc>
        <w:tc>
          <w:tcPr>
            <w:tcW w:type="dxa" w:w="1661"/>
          </w:tcPr>
          <w:p>
            <w:pPr>
              <w:pStyle w:val="null3"/>
            </w:pPr>
            <w:r>
              <w:rPr>
                <w:rFonts w:ascii="仿宋_GB2312" w:hAnsi="仿宋_GB2312" w:cs="仿宋_GB2312" w:eastAsia="仿宋_GB2312"/>
              </w:rPr>
              <w:t>供应商应提交的相关资格证明材料（含联合体协议）.docx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拟派工程总承包项目经理资格及要求</w:t>
            </w:r>
          </w:p>
        </w:tc>
        <w:tc>
          <w:tcPr>
            <w:tcW w:type="dxa" w:w="3322"/>
          </w:tcPr>
          <w:p>
            <w:pPr>
              <w:pStyle w:val="null3"/>
            </w:pPr>
            <w:r>
              <w:rPr>
                <w:rFonts w:ascii="仿宋_GB2312" w:hAnsi="仿宋_GB2312" w:cs="仿宋_GB2312" w:eastAsia="仿宋_GB2312"/>
              </w:rPr>
              <w:t>供应商拟派工程总承包项目经理具备建筑工程二级注册建造师及以上或二级注册建筑师及以上或二级注册结构工程师及以上执业资格，未担任其它在建工程的施工项目经理或工程总承包项目经理，且在本单位注册。（工程总承包项目经理与设计项目负责人或施工项目经理可为同一人，但须同时满足其相应资格要求；联合体参与磋商的工程总承包项目经理由该联合体中负责施工任务的成员委派）。</w:t>
            </w:r>
          </w:p>
        </w:tc>
        <w:tc>
          <w:tcPr>
            <w:tcW w:type="dxa" w:w="1661"/>
          </w:tcPr>
          <w:p>
            <w:pPr>
              <w:pStyle w:val="null3"/>
            </w:pPr>
            <w:r>
              <w:rPr>
                <w:rFonts w:ascii="仿宋_GB2312" w:hAnsi="仿宋_GB2312" w:cs="仿宋_GB2312" w:eastAsia="仿宋_GB2312"/>
              </w:rPr>
              <w:t>拟派工程总承包项目经理简历表.docx 供应商应提交的相关资格证明材料（含联合体协议）.docx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拟派设计项目负责人资格及要求</w:t>
            </w:r>
          </w:p>
        </w:tc>
        <w:tc>
          <w:tcPr>
            <w:tcW w:type="dxa" w:w="3322"/>
          </w:tcPr>
          <w:p>
            <w:pPr>
              <w:pStyle w:val="null3"/>
            </w:pPr>
            <w:r>
              <w:rPr>
                <w:rFonts w:ascii="仿宋_GB2312" w:hAnsi="仿宋_GB2312" w:cs="仿宋_GB2312" w:eastAsia="仿宋_GB2312"/>
              </w:rPr>
              <w:t>拟派设计项目负责人须具备【二级注册建筑师】及以上或【二级注册结构工程师】及以上执业资格，且在本单位注册。（联合体参与磋商的，拟派设计项目负责人应由该联合体中负责设计任务的成员委派）。</w:t>
            </w:r>
          </w:p>
        </w:tc>
        <w:tc>
          <w:tcPr>
            <w:tcW w:type="dxa" w:w="1661"/>
          </w:tcPr>
          <w:p>
            <w:pPr>
              <w:pStyle w:val="null3"/>
            </w:pPr>
            <w:r>
              <w:rPr>
                <w:rFonts w:ascii="仿宋_GB2312" w:hAnsi="仿宋_GB2312" w:cs="仿宋_GB2312" w:eastAsia="仿宋_GB2312"/>
              </w:rPr>
              <w:t>拟派设计项目负责人简历表.docx 供应商应提交的相关资格证明材料（含联合体协议）.docx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拟派施工项目经理资格及要求</w:t>
            </w:r>
          </w:p>
        </w:tc>
        <w:tc>
          <w:tcPr>
            <w:tcW w:type="dxa" w:w="3322"/>
          </w:tcPr>
          <w:p>
            <w:pPr>
              <w:pStyle w:val="null3"/>
            </w:pPr>
            <w:r>
              <w:rPr>
                <w:rFonts w:ascii="仿宋_GB2312" w:hAnsi="仿宋_GB2312" w:cs="仿宋_GB2312" w:eastAsia="仿宋_GB2312"/>
              </w:rPr>
              <w:t>拟派施工项目经理须具备【建筑工程二级注册建造师】及以上执业资格，并具有有效的安全生产考核合格证（建安B证），未担任其它在建工程的施工项目经理或工程总承包项目经理，且在本单位注册。（联合体参与磋商的，拟派施工项目经理应由该联合体中负责施工任务的成员委派）。</w:t>
            </w:r>
          </w:p>
        </w:tc>
        <w:tc>
          <w:tcPr>
            <w:tcW w:type="dxa" w:w="1661"/>
          </w:tcPr>
          <w:p>
            <w:pPr>
              <w:pStyle w:val="null3"/>
            </w:pPr>
            <w:r>
              <w:rPr>
                <w:rFonts w:ascii="仿宋_GB2312" w:hAnsi="仿宋_GB2312" w:cs="仿宋_GB2312" w:eastAsia="仿宋_GB2312"/>
              </w:rPr>
              <w:t>供应商应提交的相关资格证明材料（含联合体协议）.docx 拟派施工项目经理简历表.docx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截止至响应文件递交截止时间之前，未被“信用中国”网站列入失信被执行人、重大税收违法失信主体名单，未被“中国政府采购网”网站列入政府采购严重违法失信行为记录名单，未在“国家企业信用信息公示系统”中被列入严重违法失信名单（黑名单）。（联合体参与磋商的，联合体成员均须满足此要求）。</w:t>
            </w:r>
          </w:p>
        </w:tc>
        <w:tc>
          <w:tcPr>
            <w:tcW w:type="dxa" w:w="1661"/>
          </w:tcPr>
          <w:p>
            <w:pPr>
              <w:pStyle w:val="null3"/>
            </w:pPr>
            <w:r>
              <w:rPr>
                <w:rFonts w:ascii="仿宋_GB2312" w:hAnsi="仿宋_GB2312" w:cs="仿宋_GB2312" w:eastAsia="仿宋_GB2312"/>
              </w:rPr>
              <w:t>承诺书.docx 供应商应提交的相关资格证明材料（含联合体协议）.docx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“陕西省住房和城乡建设厅”官网可查询</w:t>
            </w:r>
          </w:p>
        </w:tc>
        <w:tc>
          <w:tcPr>
            <w:tcW w:type="dxa" w:w="3322"/>
          </w:tcPr>
          <w:p>
            <w:pPr>
              <w:pStyle w:val="null3"/>
            </w:pPr>
            <w:r>
              <w:rPr>
                <w:rFonts w:ascii="仿宋_GB2312" w:hAnsi="仿宋_GB2312" w:cs="仿宋_GB2312" w:eastAsia="仿宋_GB2312"/>
              </w:rPr>
              <w:t>供应商及拟派工程总承包项目经理、施工项目经理、设计项目负责人须在“陕西省住房和城乡建设厅”官网可查询。如供应商为外省进陕企业，还须同时提供“陕西省住房和城乡建设厅”官网企业库外省进陕施工企业信息首页截图。（联合体参与磋商的，联合体成员均须满足此要求）。</w:t>
            </w:r>
          </w:p>
        </w:tc>
        <w:tc>
          <w:tcPr>
            <w:tcW w:type="dxa" w:w="1661"/>
          </w:tcPr>
          <w:p>
            <w:pPr>
              <w:pStyle w:val="null3"/>
            </w:pPr>
            <w:r>
              <w:rPr>
                <w:rFonts w:ascii="仿宋_GB2312" w:hAnsi="仿宋_GB2312" w:cs="仿宋_GB2312" w:eastAsia="仿宋_GB2312"/>
              </w:rPr>
              <w:t>供应商应提交的相关资格证明材料（含联合体协议）.docx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是否接受联合体磋商</w:t>
            </w:r>
          </w:p>
        </w:tc>
        <w:tc>
          <w:tcPr>
            <w:tcW w:type="dxa" w:w="3322"/>
          </w:tcPr>
          <w:p>
            <w:pPr>
              <w:pStyle w:val="null3"/>
            </w:pPr>
            <w:r>
              <w:rPr>
                <w:rFonts w:ascii="仿宋_GB2312" w:hAnsi="仿宋_GB2312" w:cs="仿宋_GB2312" w:eastAsia="仿宋_GB2312"/>
              </w:rPr>
              <w:t>本项目接受联合体磋商。联合体成员不得超过2家，具体分工以联合体协议约定为准，资质等级按联合协议中的分工对应的单位资质等级进行确定。若联合体磋商时须明确联合体牵头单位，联合体牵头单位（牵头单位须为负责施工部分内容的单位）代表联合体各方办理本项目磋商活动过程中的一切事务，联合体应满足资格审查条件中规定的相应资质。联合体成员应共同签订具有法律效力和有约束力的联合体协议，明确各方权利、义务和分工，并声明承诺联合体各成员方对本次磋商以及成交后签订合同承担全部及连带责任。联合体磋商的由联合体牵头单位负责磋商全过程，包括但不限于报名、文件编制与递交、委托人授权、接收答疑、回复澄清、主张或放弃权利、签字盖章和合同谈判活动，代表联合体提交和接收相关的资料、信息及指示，处理与之有关的一切事务，并负责合同实施阶段的主办、组织和协调工作等磋商与成交后等相关的全部事宜。单位负责人为同一人或者存在控股、管理关系的不同单位，不得参加同一标段磋商或者未划分标段的同一招标项目磋商。如为联合体磋商，联合体内部存在上述控股、管理关系的可正常参与磋商，但联合体成员若与其他联合体的成员之间存在上述控股、管理关系的，则不得参加同一标段投标或者未划分标段的同一招标项目磋商。</w:t>
            </w:r>
          </w:p>
        </w:tc>
        <w:tc>
          <w:tcPr>
            <w:tcW w:type="dxa" w:w="1661"/>
          </w:tcPr>
          <w:p>
            <w:pPr>
              <w:pStyle w:val="null3"/>
            </w:pPr>
            <w:r>
              <w:rPr>
                <w:rFonts w:ascii="仿宋_GB2312" w:hAnsi="仿宋_GB2312" w:cs="仿宋_GB2312" w:eastAsia="仿宋_GB2312"/>
              </w:rPr>
              <w:t>供应商应提交的相关资格证明材料（含联合体协议）.docx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响应文件应按竞争性磋商文件要求电子签章</w:t>
            </w:r>
          </w:p>
        </w:tc>
        <w:tc>
          <w:tcPr>
            <w:tcW w:type="dxa" w:w="3322"/>
          </w:tcPr>
          <w:p>
            <w:pPr>
              <w:pStyle w:val="null3"/>
            </w:pPr>
            <w:r>
              <w:rPr>
                <w:rFonts w:ascii="仿宋_GB2312" w:hAnsi="仿宋_GB2312" w:cs="仿宋_GB2312" w:eastAsia="仿宋_GB2312"/>
              </w:rPr>
              <w:t>供应商应按竞争性磋商文件要求对响应文件进行电子签章。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报价函 标的清单 报价明细表.docx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竞争性磋商文件中规定的最高限价</w:t>
            </w:r>
          </w:p>
        </w:tc>
        <w:tc>
          <w:tcPr>
            <w:tcW w:type="dxa" w:w="3322"/>
          </w:tcPr>
          <w:p>
            <w:pPr>
              <w:pStyle w:val="null3"/>
            </w:pPr>
            <w:r>
              <w:rPr>
                <w:rFonts w:ascii="仿宋_GB2312" w:hAnsi="仿宋_GB2312" w:cs="仿宋_GB2312" w:eastAsia="仿宋_GB2312"/>
              </w:rPr>
              <w:t>供应商报价不得超过竞争性磋商文件中规定的最高限价。</w:t>
            </w:r>
          </w:p>
        </w:tc>
        <w:tc>
          <w:tcPr>
            <w:tcW w:type="dxa" w:w="1661"/>
          </w:tcPr>
          <w:p>
            <w:pPr>
              <w:pStyle w:val="null3"/>
            </w:pPr>
            <w:r>
              <w:rPr>
                <w:rFonts w:ascii="仿宋_GB2312" w:hAnsi="仿宋_GB2312" w:cs="仿宋_GB2312" w:eastAsia="仿宋_GB2312"/>
              </w:rPr>
              <w:t>报价函 标的清单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响应文件应满足本项目竞争性磋商文件中工期的要求。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响应文件应满足本项目竞争性磋商文件中工程质量的要求。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质量保修期</w:t>
            </w:r>
          </w:p>
        </w:tc>
        <w:tc>
          <w:tcPr>
            <w:tcW w:type="dxa" w:w="3322"/>
          </w:tcPr>
          <w:p>
            <w:pPr>
              <w:pStyle w:val="null3"/>
            </w:pPr>
            <w:r>
              <w:rPr>
                <w:rFonts w:ascii="仿宋_GB2312" w:hAnsi="仿宋_GB2312" w:cs="仿宋_GB2312" w:eastAsia="仿宋_GB2312"/>
              </w:rPr>
              <w:t>响应文件应满足本项目竞争性磋商文件中质量保修期的要求。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响应文件不得含有采购人不能接受的附加条件并需满足本竞争性磋商文件中实质性要求</w:t>
            </w:r>
          </w:p>
        </w:tc>
        <w:tc>
          <w:tcPr>
            <w:tcW w:type="dxa" w:w="3322"/>
          </w:tcPr>
          <w:p>
            <w:pPr>
              <w:pStyle w:val="null3"/>
            </w:pPr>
            <w:r>
              <w:rPr>
                <w:rFonts w:ascii="仿宋_GB2312" w:hAnsi="仿宋_GB2312" w:cs="仿宋_GB2312" w:eastAsia="仿宋_GB2312"/>
              </w:rPr>
              <w:t>未含有采购人不能接受的附加条件并需满足本竞争性磋商文件中实质性要求。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法定代表人授权合法授权代表参加磋商会议的，应出具法定代表人证明书、法定代表人授权书及授权代表合法有效的身份证,同时提供截至响应文件递交时间前一个月的社会保险缴纳证明。</w:t>
            </w:r>
          </w:p>
        </w:tc>
        <w:tc>
          <w:tcPr>
            <w:tcW w:type="dxa" w:w="1661"/>
          </w:tcPr>
          <w:p>
            <w:pPr>
              <w:pStyle w:val="null3"/>
            </w:pPr>
            <w:r>
              <w:rPr>
                <w:rFonts w:ascii="仿宋_GB2312" w:hAnsi="仿宋_GB2312" w:cs="仿宋_GB2312" w:eastAsia="仿宋_GB2312"/>
              </w:rPr>
              <w:t>法定代表人授权委托书.docx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已标价工程量清单</w:t>
            </w:r>
          </w:p>
        </w:tc>
        <w:tc>
          <w:tcPr>
            <w:tcW w:type="dxa" w:w="3322"/>
          </w:tcPr>
          <w:p>
            <w:pPr>
              <w:pStyle w:val="null3"/>
            </w:pPr>
            <w:r>
              <w:rPr>
                <w:rFonts w:ascii="仿宋_GB2312" w:hAnsi="仿宋_GB2312" w:cs="仿宋_GB2312" w:eastAsia="仿宋_GB2312"/>
              </w:rPr>
              <w:t>每轮报价只有一个报价，无选择性报价。</w:t>
            </w:r>
          </w:p>
        </w:tc>
        <w:tc>
          <w:tcPr>
            <w:tcW w:type="dxa" w:w="1661"/>
          </w:tcPr>
          <w:p>
            <w:pPr>
              <w:pStyle w:val="null3"/>
            </w:pPr>
            <w:r>
              <w:rPr>
                <w:rFonts w:ascii="仿宋_GB2312" w:hAnsi="仿宋_GB2312" w:cs="仿宋_GB2312" w:eastAsia="仿宋_GB2312"/>
              </w:rPr>
              <w:t>已标价工程量清单 关于工程量清单说明.docx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（1）供应商提供自2023年3月1日至今已承接的类似业绩证明材料，每提供1项得2分，最多得4分。 评审依据：类似业绩证明材料指建筑工程施工总承包或工程总承包【EPC】中包含建筑工程结构补强施工内容的相关业绩合同扫描件或复印件，以合同签订时间所体现的时间为准。 （2）供应商提供自2023年3月1日至今已承接的建筑工程设计业绩证明材料，每提供1项得1分，最多得1分。 评审依据：提供建筑工程设计业绩的合同扫描件或复印件，以合同签订时间所体现的时间为准 备注：联合体参与磋商的，联合体任意一方提供的业绩均可参与赋分。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项目管理机构组成表 主要人员</w:t>
            </w:r>
          </w:p>
        </w:tc>
        <w:tc>
          <w:tcPr>
            <w:tcW w:type="dxa" w:w="2492"/>
          </w:tcPr>
          <w:p>
            <w:pPr>
              <w:pStyle w:val="null3"/>
            </w:pPr>
            <w:r>
              <w:rPr>
                <w:rFonts w:ascii="仿宋_GB2312" w:hAnsi="仿宋_GB2312" w:cs="仿宋_GB2312" w:eastAsia="仿宋_GB2312"/>
              </w:rPr>
              <w:t>一、拟派工程总承包项目经理（9分） （1）拟派工程总承包项目经理学历（2分） 具有本科及以上学历的得2分，其他情况不得分。 评审依据：评审时以供应商提供的拟派工程总承包项目经理的最高学历证书扫描件或复印件为准。 （2）拟派工程总承包项目经理职称（2分） 具有高级及以上技术职称的得2分，具有中级技术职称的得1分，其他情况不得分。 评审依据：评审时以供应商提供的拟派工程总承包项目经理的最高职称证书扫描件或复印件为准。 （3）拟派工程总承包项目经理业绩（5分） 提供拟派工程总承包项目经理2022年3月1日起至今以项目经理或项目负责人身份已完成的类似业绩证明材料。每提供1项得2.5分，最多得5分。 评审依据：（1）类似业绩证明材料指建筑工程施工总承包或工程总承【EPC】中包含建筑工程结构补强施工内容的相关业绩。供应商需提供相应业绩的合同、中标通知书及竣工验收报告或竣工验收合格证明材料的原扫描件或复印件。提供的业绩证明材料缺少资料或未按照要求提供的不得分。 （2）供应商企业业绩与拟派工程总承包项目经理类似业绩可重复。 二、拟派施工项目经理（3分） （1）拟派施工项目经理的学历（1分） 具有本科及以上学历的得1分，其他情况不得分。 评审依据：评审时以供应商提供的施工项目经理的最高学历证书扫描件或复印件为准； （2）拟派施工项目经理职称（2分） 具有高级及以上技术职称的得2分，具有中级技术职称的得1分，其他情况不得分。 评审依据：评审时以供应商提供的拟派施工项目经理的最高职称证书扫描件或复印件为准。 三、拟派设计项目负责人（3分） （1）拟派设计项目负责人的学历（1分） 具有本科及以上学历的得1分，其他情况不得分。 评审依据：评审时以供应商提供的拟派设计项目负责人最高学历证书证的扫描件或复印件为准。 （2）拟派设计项目负责人职称（2分） 具有高级及以上技术职称的得2分，具有中级技术职称的得1分，其他情况不得分。 评审依据：评审时以供应商提供的拟派设计项目负责人的最高职称证书扫描件或复印件为准。 四、拟派项目部其他管理人员（5分） 除拟派工程总承包项目负责人、施工项目经理、设计项目负责人外至少应包括： 土建类工程师2人、给排水类专业工程师1人、暖通类专业工程师1人、造价专业工程师1人、安全员1人、资料员1人。 满足以上全部要求的，得5分，未满足以上全部要求得0分； 评审依据：专业工程师应提供满足上述要求的技术职称证书或注册证书的扫描件或复印件；造价专业工程师应提供注册证书的扫描件或复印件，且注册单位为供应商本单位；安全员应提供安全C证的扫描件或复印件；资料人员应提供上岗证明材料。 同时，供应商须提供项目部全体人员合法有效的身份证扫描件或复印件。未按要求提供以上全部资料的，将不予认定及赋分。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项目管理机构组成表（主要人员）.docx</w:t>
            </w:r>
          </w:p>
        </w:tc>
      </w:tr>
      <w:tr>
        <w:tc>
          <w:tcPr>
            <w:tcW w:type="dxa" w:w="831"/>
            <w:vMerge/>
          </w:tcPr>
          <w:p/>
        </w:tc>
        <w:tc>
          <w:tcPr>
            <w:tcW w:type="dxa" w:w="1661"/>
          </w:tcPr>
          <w:p>
            <w:pPr>
              <w:pStyle w:val="null3"/>
            </w:pPr>
            <w:r>
              <w:rPr>
                <w:rFonts w:ascii="仿宋_GB2312" w:hAnsi="仿宋_GB2312" w:cs="仿宋_GB2312" w:eastAsia="仿宋_GB2312"/>
              </w:rPr>
              <w:t>工程总承包管理思路及措施</w:t>
            </w:r>
          </w:p>
        </w:tc>
        <w:tc>
          <w:tcPr>
            <w:tcW w:type="dxa" w:w="2492"/>
          </w:tcPr>
          <w:p>
            <w:pPr>
              <w:pStyle w:val="null3"/>
            </w:pPr>
            <w:r>
              <w:rPr>
                <w:rFonts w:ascii="仿宋_GB2312" w:hAnsi="仿宋_GB2312" w:cs="仿宋_GB2312" w:eastAsia="仿宋_GB2312"/>
              </w:rPr>
              <w:t>供应商提供工程总承包管理思路及措施需包含①工程总承包的总体设想及组织形式；②项目总承包组织设计及组织机构；③项目总承包目标分解及项目情况分析，共 3项内容，每项满分 3 分，总分 9 分。其中，每项以具体内容与本项目及所提供思路及措施的针对性、可行性、方案完善性作为采分点；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设计思路及措施</w:t>
            </w:r>
          </w:p>
        </w:tc>
        <w:tc>
          <w:tcPr>
            <w:tcW w:type="dxa" w:w="2492"/>
          </w:tcPr>
          <w:p>
            <w:pPr>
              <w:pStyle w:val="null3"/>
            </w:pPr>
            <w:r>
              <w:rPr>
                <w:rFonts w:ascii="仿宋_GB2312" w:hAnsi="仿宋_GB2312" w:cs="仿宋_GB2312" w:eastAsia="仿宋_GB2312"/>
              </w:rPr>
              <w:t>供应商提供本项目所处地理位置、周边环境、场地现状等现有条件的设计思路及措施需包含：①设计整体架构科学性、合理性的思路；②设计质量控制措施、设计成本控制措施，共 2项内容，每项满分 3 分，总分6分。其中，每项以具体内容与本项目及所提供思路及措施的针对性、可行性、方案完善性作为采分点；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采购方案及措施</w:t>
            </w:r>
          </w:p>
        </w:tc>
        <w:tc>
          <w:tcPr>
            <w:tcW w:type="dxa" w:w="2492"/>
          </w:tcPr>
          <w:p>
            <w:pPr>
              <w:pStyle w:val="null3"/>
            </w:pPr>
            <w:r>
              <w:rPr>
                <w:rFonts w:ascii="仿宋_GB2312" w:hAnsi="仿宋_GB2312" w:cs="仿宋_GB2312" w:eastAsia="仿宋_GB2312"/>
              </w:rPr>
              <w:t>供应商提供针对本项目的采购方案需包含①主要设备、材料及服务的拟定采购方案；②采购过程中的产品质量、供货及安装进度保障措施，共2项内容，每项满分3 分，总分6分。其中，每项以具体内容与本项目及所提供采购方案及措施的针对性、可行性、方案完善性作为采分点；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施工管理方案</w:t>
            </w:r>
          </w:p>
        </w:tc>
        <w:tc>
          <w:tcPr>
            <w:tcW w:type="dxa" w:w="2492"/>
          </w:tcPr>
          <w:p>
            <w:pPr>
              <w:pStyle w:val="null3"/>
            </w:pPr>
            <w:r>
              <w:rPr>
                <w:rFonts w:ascii="仿宋_GB2312" w:hAnsi="仿宋_GB2312" w:cs="仿宋_GB2312" w:eastAsia="仿宋_GB2312"/>
              </w:rPr>
              <w:t>供应商提供的施工管理方案需包含①施工目标及方案；②质量管理体系及措施，共2项内容，每项满分 3 分，总分6分。 其中，每项以具体内容与本项目施工管理方案的针对性、可行性、方案完善性作为采分点；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安全文明施工的技术组织措施及环境保护措施</w:t>
            </w:r>
          </w:p>
        </w:tc>
        <w:tc>
          <w:tcPr>
            <w:tcW w:type="dxa" w:w="2492"/>
          </w:tcPr>
          <w:p>
            <w:pPr>
              <w:pStyle w:val="null3"/>
            </w:pPr>
            <w:r>
              <w:rPr>
                <w:rFonts w:ascii="仿宋_GB2312" w:hAnsi="仿宋_GB2312" w:cs="仿宋_GB2312" w:eastAsia="仿宋_GB2312"/>
              </w:rPr>
              <w:t>供应商提供的安全文明施工的组织措施及环境保护措施需包含①安全生产管理制度、安全风险防控、应急处置方案；②安全文明施工、环保措施（扬尘、噪音管控等），共 2项内容，每项满分3 分，总分6分。 其中，每项以具体内容与本项目安全文明施工措施及环境保护措施的针对性、可行性、方案完善性作为采分点；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供应商提供的进度计划需包含①进度计划（网络图或横道图）；②工期延误风险预判及应对措施，共2项内容，每项满分3 分，总分 6分。 其中，每项以具体内容与本项目工期的技术组织措施针对性、可行性、方案完善性作为采分点；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vMerge/>
          </w:tcPr>
          <w:p/>
        </w:tc>
        <w:tc>
          <w:tcPr>
            <w:tcW w:type="dxa" w:w="1661"/>
          </w:tcPr>
          <w:p>
            <w:pPr>
              <w:pStyle w:val="null3"/>
            </w:pPr>
            <w:r>
              <w:rPr>
                <w:rFonts w:ascii="仿宋_GB2312" w:hAnsi="仿宋_GB2312" w:cs="仿宋_GB2312" w:eastAsia="仿宋_GB2312"/>
              </w:rPr>
              <w:t>施工机械配备投入计划</w:t>
            </w:r>
          </w:p>
        </w:tc>
        <w:tc>
          <w:tcPr>
            <w:tcW w:type="dxa" w:w="2492"/>
          </w:tcPr>
          <w:p>
            <w:pPr>
              <w:pStyle w:val="null3"/>
            </w:pPr>
            <w:r>
              <w:rPr>
                <w:rFonts w:ascii="仿宋_GB2312" w:hAnsi="仿宋_GB2312" w:cs="仿宋_GB2312" w:eastAsia="仿宋_GB2312"/>
              </w:rPr>
              <w:t>供应商提供的施工机械配备投入需包含：①拟投入施工机械设备配置计划方案；②机械设备配置的施工管理方案；共2项内容，每项满分3 分，总分 6分。 其中，每项以具体内容与本项目施工机械配备投入计划的针对性、可行性、方案完善性作为采分点； 每个采分点按照 1分、0.9 分、0.5 分、0.3 分、0.1 分、0 分作为具体赋分分值，完全符合采分点要求的得 1 分，存在个别瑕疵但是符合采分点要素的得 0.9 分，基本符合采分点要求但是存在一定不足的得 0.5 分，存在明显不符合采分点要求的得 0.3 分，完全不符合采分点要求的得 0.1 分，未响应相应内容的得 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技术实施方案.docx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经初步审查合格的响应文件，其磋商报价为有效报价。 综合评分法中的价格分统一采用低价优先法计算，即满足竞争性磋商文件要求且最后报价最低的供应商的价格为磋商基准价，其价格分为满分。其他供应商的价格分统一按照下列公式计算： 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3.00%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3%的扣除，用扣除后的价格参加评审。承接本项目的供应商符合相应条件时，给予3%的价格扣除，即：评标价=最后报价×（1-3%）;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联合协议或者分包意向协议约定小型、微型企业的合同份额占到合同总金额30%以上</w:t>
            </w:r>
          </w:p>
        </w:tc>
        <w:tc>
          <w:tcPr>
            <w:tcW w:type="dxa" w:w="831"/>
          </w:tcPr>
          <w:p>
            <w:pPr>
              <w:pStyle w:val="null3"/>
              <w:jc w:val="right"/>
            </w:pPr>
            <w:r>
              <w:rPr>
                <w:rFonts w:ascii="仿宋_GB2312" w:hAnsi="仿宋_GB2312" w:cs="仿宋_GB2312" w:eastAsia="仿宋_GB2312"/>
              </w:rPr>
              <w:t>1.00%</w:t>
            </w:r>
          </w:p>
        </w:tc>
        <w:tc>
          <w:tcPr>
            <w:tcW w:type="dxa" w:w="1661"/>
          </w:tcPr>
          <w:p>
            <w:pPr>
              <w:pStyle w:val="null3"/>
            </w:pPr>
            <w:r>
              <w:rPr>
                <w:rFonts w:ascii="仿宋_GB2312" w:hAnsi="仿宋_GB2312" w:cs="仿宋_GB2312" w:eastAsia="仿宋_GB2312"/>
              </w:rPr>
              <w:t>1、接受大中型企业与小微企业组成联合体的采购项目，对联合协议约定小微企业的合同份额占到合同总金额30%以上的，对联合体的报价给予1%的扣除，用扣除后的价格参加评审。2、允许大中型企业向一家或者多家小微企业分包的采购项目，对于分包意向协议约定小微企业的合同份额占到合同总金额30%以上的，对大中型企业的报价给予1%的扣除，用扣除后的价格参加评审。承接本项目的供应商符合相应条件时，给予1%的价格扣除，即：评标价=最后报价×（1-1%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供应商应提交的相关资格证明材料（含联合体协议）.docx</w:t>
            </w:r>
          </w:p>
          <w:p>
            <w:pPr>
              <w:pStyle w:val="null3"/>
            </w:pPr>
            <w:r>
              <w:rPr>
                <w:rFonts w:ascii="仿宋_GB2312" w:hAnsi="仿宋_GB2312" w:cs="仿宋_GB2312" w:eastAsia="仿宋_GB2312"/>
              </w:rPr>
              <w:t>中小企业声明函（联合体牵头单位及成员）.docx</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详见附件：技术实施方案.docx</w:t>
      </w:r>
    </w:p>
    <w:p>
      <w:pPr>
        <w:pStyle w:val="null3"/>
        <w:ind w:firstLine="960"/>
      </w:pPr>
      <w:r>
        <w:rPr>
          <w:rFonts w:ascii="仿宋_GB2312" w:hAnsi="仿宋_GB2312" w:cs="仿宋_GB2312" w:eastAsia="仿宋_GB2312"/>
        </w:rPr>
        <w:t>详见附件：报价明细表.docx</w:t>
      </w:r>
    </w:p>
    <w:p>
      <w:pPr>
        <w:pStyle w:val="null3"/>
        <w:ind w:firstLine="960"/>
      </w:pPr>
      <w:r>
        <w:rPr>
          <w:rFonts w:ascii="仿宋_GB2312" w:hAnsi="仿宋_GB2312" w:cs="仿宋_GB2312" w:eastAsia="仿宋_GB2312"/>
        </w:rPr>
        <w:t>详见附件：关于工程量清单说明.docx</w:t>
      </w:r>
    </w:p>
    <w:p>
      <w:pPr>
        <w:pStyle w:val="null3"/>
        <w:ind w:firstLine="960"/>
      </w:pPr>
      <w:r>
        <w:rPr>
          <w:rFonts w:ascii="仿宋_GB2312" w:hAnsi="仿宋_GB2312" w:cs="仿宋_GB2312" w:eastAsia="仿宋_GB2312"/>
        </w:rPr>
        <w:t>详见附件：供应商应提交的相关资格证明材料（含联合体协议）.docx</w:t>
      </w:r>
    </w:p>
    <w:p>
      <w:pPr>
        <w:pStyle w:val="null3"/>
        <w:ind w:firstLine="960"/>
      </w:pPr>
      <w:r>
        <w:rPr>
          <w:rFonts w:ascii="仿宋_GB2312" w:hAnsi="仿宋_GB2312" w:cs="仿宋_GB2312" w:eastAsia="仿宋_GB2312"/>
        </w:rPr>
        <w:t>详见附件：项目管理机构组成表（主要人员）.docx</w:t>
      </w:r>
    </w:p>
    <w:p>
      <w:pPr>
        <w:pStyle w:val="null3"/>
        <w:ind w:firstLine="960"/>
      </w:pPr>
      <w:r>
        <w:rPr>
          <w:rFonts w:ascii="仿宋_GB2312" w:hAnsi="仿宋_GB2312" w:cs="仿宋_GB2312" w:eastAsia="仿宋_GB2312"/>
        </w:rPr>
        <w:t>详见附件：拟派工程总承包项目经理简历表.docx</w:t>
      </w:r>
    </w:p>
    <w:p>
      <w:pPr>
        <w:pStyle w:val="null3"/>
        <w:ind w:firstLine="960"/>
      </w:pPr>
      <w:r>
        <w:rPr>
          <w:rFonts w:ascii="仿宋_GB2312" w:hAnsi="仿宋_GB2312" w:cs="仿宋_GB2312" w:eastAsia="仿宋_GB2312"/>
        </w:rPr>
        <w:t>详见附件：拟派施工项目经理简历表.docx</w:t>
      </w:r>
    </w:p>
    <w:p>
      <w:pPr>
        <w:pStyle w:val="null3"/>
        <w:ind w:firstLine="960"/>
      </w:pPr>
      <w:r>
        <w:rPr>
          <w:rFonts w:ascii="仿宋_GB2312" w:hAnsi="仿宋_GB2312" w:cs="仿宋_GB2312" w:eastAsia="仿宋_GB2312"/>
        </w:rPr>
        <w:t>详见附件：拟派设计项目负责人简历表.docx</w:t>
      </w:r>
    </w:p>
    <w:p>
      <w:pPr>
        <w:pStyle w:val="null3"/>
        <w:ind w:firstLine="960"/>
      </w:pPr>
      <w:r>
        <w:rPr>
          <w:rFonts w:ascii="仿宋_GB2312" w:hAnsi="仿宋_GB2312" w:cs="仿宋_GB2312" w:eastAsia="仿宋_GB2312"/>
        </w:rPr>
        <w:t>详见附件：中小企业声明函（联合体牵头单位及成员）.docx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