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版本号：JJX-2026-01220260320001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陕西省江河湖库突出问题专项治理2026年项目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JJX-2026-012</w:t>
      </w:r>
      <w:r>
        <w:br/>
      </w:r>
      <w:r>
        <w:br/>
      </w:r>
      <w:r>
        <w:br/>
      </w:r>
    </w:p>
    <w:p>
      <w:pPr>
        <w:pStyle w:val="null3"/>
        <w:jc w:val="center"/>
        <w:outlineLvl w:val="2"/>
      </w:pPr>
      <w:r>
        <w:rPr>
          <w:rFonts w:ascii="仿宋_GB2312" w:hAnsi="仿宋_GB2312" w:cs="仿宋_GB2312" w:eastAsia="仿宋_GB2312"/>
          <w:sz w:val="28"/>
          <w:b/>
        </w:rPr>
        <w:t>陕西省三门峡库区管理局机关</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陕西省三门峡库区管理局机关</w:t>
      </w:r>
      <w:r>
        <w:rPr>
          <w:rFonts w:ascii="仿宋_GB2312" w:hAnsi="仿宋_GB2312" w:cs="仿宋_GB2312" w:eastAsia="仿宋_GB2312"/>
        </w:rPr>
        <w:t>委托，拟对</w:t>
      </w:r>
      <w:r>
        <w:rPr>
          <w:rFonts w:ascii="仿宋_GB2312" w:hAnsi="仿宋_GB2312" w:cs="仿宋_GB2312" w:eastAsia="仿宋_GB2312"/>
        </w:rPr>
        <w:t>陕西省江河湖库突出问题专项治理2026年项目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陕西省江河湖库突出问题专项治理2026年项目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江河湖库突出问题专项治理2026年项目包括陕西省河湖库砂石资源监管与水域空间管控制度体系研究、河湖库相关规范性文件和技术规程制定、水行政执法现状分析、陕西省河湖“四乱”问题卫星遥感监测等，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陕西省三门峡库区管理局机关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西安市未央区文景路中段202号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夏天彬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029一83665211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陕西省西安市曲江新区雁南五路谛杰国际广场5楼01室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15309133872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陕西省三门峡库区管理局机关</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陕西省三门峡库区管理局机关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陕西省三门峡库区管理局机关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联系电话：15309133872</w:t>
      </w:r>
    </w:p>
    <w:p>
      <w:pPr>
        <w:pStyle w:val="null3"/>
      </w:pPr>
      <w:r>
        <w:rPr>
          <w:rFonts w:ascii="仿宋_GB2312" w:hAnsi="仿宋_GB2312" w:cs="仿宋_GB2312" w:eastAsia="仿宋_GB2312"/>
        </w:rPr>
        <w:t>地址：陕西省西安市曲江新区雁南五路谛杰国际广场5楼01室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江河湖库突出问题专项治理2026年项目包括陕西省河湖库砂石资源监管与水域空间管控制度体系研究、河湖库相关规范性文件和技术规程制定、水行政执法现状分析、陕西省河湖“四乱”问题卫星遥感监测等。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陕西省江河湖库突出问题专项治理2026年项目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标的名称：陕西省江河湖库突出问题专项治理2026年项目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18"/>
                <w:color w:val="000000"/>
              </w:rPr>
              <w:t>完成《陕西省河湖库砂石资源监管与水域空间管控制度体系研究》报告，制定《陕西省河道管理范围内特定活动管理规定》《陕西省水库清淤试点工程管理办法（试行）》《陕西省河道非法采砂举报奖励办法》《陕西省河道砂石资源有偿使用收入管理办法》4项规范性文件。主要承担两大任务：一是深入开展调研分析，全面梳理陕西省河湖砂石资源监管、水域空间管控现存问题及管理需求，形成具备数据支撑和问题导向的研究报告，为后续制度制定提供坚实依据；二是聚焦管理实践中的关键环节，针对性制定四项配套管理制度，其中《陕西省河道管理范围内特定活动管理规定》用于规范河道管理范围内特定活动，保障河道行洪安全和生态安全，《陕西省水库清淤试点工程管理办法（试行）》规范水库清淤行为，确保工程科学、安全、环保，有效恢复水库功能，为水库清淤试点工作提供操作指引与管理标准，《陕西省河道非法采砂举报奖励办法》旨在鼓励公众监督，建立群防群治机制，激发社会监督力量、打击非法采砂行为，维护水事秩序，《陕西省河道砂石资源有偿使用收入管理办法》健全资源有偿使用制度，依法保障国家资产收益，明确资金用于河湖治理的分配与用途，运用经济杠杆促进资源节约集约利用。通过“1份报告+4项规范性文件”的成果体系，构建起覆盖事前规范、事中监管、事后保障的完整制度链条，共同形成从“社会监督、工程管理、资源调控到行政监管”的全链条治理闭环，最终实现河湖资源有效保护、合理开发和可持续利用的总体目标，推动陕西省河湖管理工作迈入制度化、规范化轨道。</w:t>
            </w:r>
          </w:p>
          <w:p>
            <w:pPr>
              <w:pStyle w:val="null3"/>
              <w:ind w:firstLine="560"/>
            </w:pPr>
            <w:r>
              <w:rPr>
                <w:rFonts w:ascii="仿宋_GB2312" w:hAnsi="仿宋_GB2312" w:cs="仿宋_GB2312" w:eastAsia="仿宋_GB2312"/>
                <w:sz w:val="18"/>
                <w:color w:val="000000"/>
              </w:rPr>
              <w:t>完成《无人机河道巡航基站建设及常态化巡查规程》《陕西省河道疏浚砂综合利用实施方案编制导则》《陕西省河湖防护设施标准化体系建设指南》3项技术规程。</w:t>
            </w:r>
            <w:r>
              <w:rPr>
                <w:rFonts w:ascii="仿宋_GB2312" w:hAnsi="仿宋_GB2312" w:cs="仿宋_GB2312" w:eastAsia="仿宋_GB2312"/>
                <w:sz w:val="18"/>
                <w:color w:val="000000"/>
              </w:rPr>
              <w:t>通过《无人机河道巡航基站建设及常态</w:t>
            </w:r>
            <w:r>
              <w:rPr>
                <w:rFonts w:ascii="仿宋_GB2312" w:hAnsi="仿宋_GB2312" w:cs="仿宋_GB2312" w:eastAsia="仿宋_GB2312"/>
                <w:sz w:val="18"/>
                <w:color w:val="000000"/>
              </w:rPr>
              <w:t>化巡查工作规范》推动巡查模式转型升级，明确无人机基站建设标准和定时巡查流程，实现高效、精准、全面的河道监管，提升问题发现与响应能力；通过《陕西省河道疏浚砂综合利用实施方案编制导则》规范资源化利用路径，指导科学编制疏浚砂石综合利用方案，确保疏浚工程生态友好、疏浚砂石依法依规高效利用，变废为宝并保障河道行洪安全。通过《陕西省河湖防护设施标准化体系建设指南》建立长效防控机制，统一“人防、物防、技防、宣防”标准，保障人民生命安全；三项任务从安全管控、智能巡查到资源利用，共同形成了“保障安全、智慧监管、资源循环”的协同治理链条，最终全面提升河湖管理的精细化、智能化与可持续发展水平。</w:t>
            </w:r>
          </w:p>
          <w:p>
            <w:pPr>
              <w:pStyle w:val="null3"/>
              <w:ind w:firstLine="560"/>
            </w:pPr>
            <w:r>
              <w:rPr>
                <w:rFonts w:ascii="仿宋_GB2312" w:hAnsi="仿宋_GB2312" w:cs="仿宋_GB2312" w:eastAsia="仿宋_GB2312"/>
                <w:sz w:val="18"/>
                <w:color w:val="000000"/>
              </w:rPr>
              <w:t>完成《</w:t>
            </w:r>
            <w:r>
              <w:rPr>
                <w:rFonts w:ascii="仿宋_GB2312" w:hAnsi="仿宋_GB2312" w:cs="仿宋_GB2312" w:eastAsia="仿宋_GB2312"/>
                <w:sz w:val="18"/>
                <w:color w:val="000000"/>
              </w:rPr>
              <w:t>全省河湖库水行政执法质量和效能提升研究报告</w:t>
            </w:r>
            <w:r>
              <w:rPr>
                <w:rFonts w:ascii="仿宋_GB2312" w:hAnsi="仿宋_GB2312" w:cs="仿宋_GB2312" w:eastAsia="仿宋_GB2312"/>
                <w:sz w:val="18"/>
                <w:color w:val="000000"/>
              </w:rPr>
              <w:t>》</w:t>
            </w:r>
            <w:r>
              <w:rPr>
                <w:rFonts w:ascii="仿宋_GB2312" w:hAnsi="仿宋_GB2312" w:cs="仿宋_GB2312" w:eastAsia="仿宋_GB2312"/>
                <w:sz w:val="18"/>
                <w:color w:val="000000"/>
              </w:rPr>
              <w:t>调研分析项目1</w:t>
            </w:r>
            <w:r>
              <w:rPr>
                <w:rFonts w:ascii="仿宋_GB2312" w:hAnsi="仿宋_GB2312" w:cs="仿宋_GB2312" w:eastAsia="仿宋_GB2312"/>
                <w:sz w:val="18"/>
                <w:color w:val="000000"/>
              </w:rPr>
              <w:t>项。</w:t>
            </w:r>
            <w:r>
              <w:rPr>
                <w:rFonts w:ascii="仿宋_GB2312" w:hAnsi="仿宋_GB2312" w:cs="仿宋_GB2312" w:eastAsia="仿宋_GB2312"/>
                <w:sz w:val="18"/>
                <w:color w:val="000000"/>
              </w:rPr>
              <w:t>通过调研分析水行政执法现状及存在问题，提出对策建议，形成</w:t>
            </w:r>
            <w:r>
              <w:rPr>
                <w:rFonts w:ascii="仿宋_GB2312" w:hAnsi="仿宋_GB2312" w:cs="仿宋_GB2312" w:eastAsia="仿宋_GB2312"/>
                <w:sz w:val="18"/>
                <w:color w:val="000000"/>
              </w:rPr>
              <w:t>《</w:t>
            </w:r>
            <w:r>
              <w:rPr>
                <w:rFonts w:ascii="仿宋_GB2312" w:hAnsi="仿宋_GB2312" w:cs="仿宋_GB2312" w:eastAsia="仿宋_GB2312"/>
                <w:sz w:val="18"/>
                <w:color w:val="000000"/>
              </w:rPr>
              <w:t>全省河湖库水行政执法质量和效能提升研究报告</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spacing w:after="120"/>
              <w:ind w:firstLine="560"/>
            </w:pPr>
            <w:r>
              <w:rPr>
                <w:rFonts w:ascii="仿宋_GB2312" w:hAnsi="仿宋_GB2312" w:cs="仿宋_GB2312" w:eastAsia="仿宋_GB2312"/>
                <w:sz w:val="18"/>
                <w:color w:val="000000"/>
              </w:rPr>
              <w:t>完成《</w:t>
            </w:r>
            <w:r>
              <w:rPr>
                <w:rFonts w:ascii="仿宋_GB2312" w:hAnsi="仿宋_GB2312" w:cs="仿宋_GB2312" w:eastAsia="仿宋_GB2312"/>
                <w:sz w:val="18"/>
                <w:color w:val="000000"/>
              </w:rPr>
              <w:t>陕西省河湖“四乱”问题卫星遥感监测</w:t>
            </w:r>
            <w:r>
              <w:rPr>
                <w:rFonts w:ascii="仿宋_GB2312" w:hAnsi="仿宋_GB2312" w:cs="仿宋_GB2312" w:eastAsia="仿宋_GB2312"/>
                <w:sz w:val="18"/>
                <w:color w:val="000000"/>
              </w:rPr>
              <w:t>》</w:t>
            </w:r>
            <w:r>
              <w:rPr>
                <w:rFonts w:ascii="仿宋_GB2312" w:hAnsi="仿宋_GB2312" w:cs="仿宋_GB2312" w:eastAsia="仿宋_GB2312"/>
                <w:sz w:val="18"/>
                <w:color w:val="000000"/>
              </w:rPr>
              <w:t>监测项目1</w:t>
            </w:r>
            <w:r>
              <w:rPr>
                <w:rFonts w:ascii="仿宋_GB2312" w:hAnsi="仿宋_GB2312" w:cs="仿宋_GB2312" w:eastAsia="仿宋_GB2312"/>
                <w:sz w:val="18"/>
                <w:color w:val="000000"/>
              </w:rPr>
              <w:t>项。</w:t>
            </w:r>
            <w:r>
              <w:rPr>
                <w:rFonts w:ascii="仿宋_GB2312" w:hAnsi="仿宋_GB2312" w:cs="仿宋_GB2312" w:eastAsia="仿宋_GB2312"/>
                <w:sz w:val="18"/>
                <w:color w:val="000000"/>
              </w:rPr>
              <w:t>提交省级河流月度监测成果12期，1000km</w:t>
            </w:r>
            <w:r>
              <w:rPr>
                <w:rFonts w:ascii="仿宋_GB2312" w:hAnsi="仿宋_GB2312" w:cs="仿宋_GB2312" w:eastAsia="仿宋_GB2312"/>
                <w:sz w:val="18"/>
                <w:color w:val="000000"/>
                <w:vertAlign w:val="superscript"/>
              </w:rPr>
              <w:t>2</w:t>
            </w:r>
            <w:r>
              <w:rPr>
                <w:rFonts w:ascii="仿宋_GB2312" w:hAnsi="仿宋_GB2312" w:cs="仿宋_GB2312" w:eastAsia="仿宋_GB2312"/>
                <w:sz w:val="18"/>
                <w:color w:val="000000"/>
              </w:rPr>
              <w:t>以上65条市级河流季度监测成果4期，全省50km</w:t>
            </w:r>
            <w:r>
              <w:rPr>
                <w:rFonts w:ascii="仿宋_GB2312" w:hAnsi="仿宋_GB2312" w:cs="仿宋_GB2312" w:eastAsia="仿宋_GB2312"/>
                <w:sz w:val="18"/>
                <w:color w:val="000000"/>
                <w:vertAlign w:val="superscript"/>
              </w:rPr>
              <w:t>2</w:t>
            </w:r>
            <w:r>
              <w:rPr>
                <w:rFonts w:ascii="仿宋_GB2312" w:hAnsi="仿宋_GB2312" w:cs="仿宋_GB2312" w:eastAsia="仿宋_GB2312"/>
                <w:sz w:val="18"/>
                <w:color w:val="000000"/>
              </w:rPr>
              <w:t>以河流年度监测1期，升级河湖库监测监管平台，增加功能模块3个，优化河湖巡查APP在线核查功能、新增离线工作模式。</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供应商应组建专业的服务团队，负责对项目实施过程的控制及管理，明确项目负责人及技术人员。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自合同签订之日起至2026年12月31日前完成项目所有内容。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1、满足现行国家相关标准、行业标准及采购人要求；成交供应商对最终的服务质量负完全责任。 2、验收依据：（1）合同；（2）国家有关的验收标准及规范；（3）采购文件、响应文件。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提交初稿后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1、本项目实际采购人为陕西省江河水库工作中心，成交供应商最终与陕西省江河水库工作中心签订服务合同； 2、成交供应商在结果公示结束后，需提供系统签章后的磋商响应文件，双面打印两套，封皮加盖单位鲜章，送至采购代理机构。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或者其他组织的营业执照等证明文件，自然人的身份证明；2、提供2025年3月1日至今任意一个月依法缴纳税收和社会保障资金的相关材料；3、提供具有履行合同所必需的设备和专业技术能力的承诺；4、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审计报告（审计报告须具有注册会计师行业统一监管平台（http://acc.mof.gov.cn）赋予的验证码），（成立时间至磋商时间不足一年的可提供成立后任意时段的资产负债表）或2025年12月1日至今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符合竞争性磋商文件规定签署盖章要求。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标的清单 商务要求响应表.docx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唯一报价，并未超出预算金额。</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自合同签订之日起至2026年12月31日前完成项目所有内容。</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提供服务方案，方案包含以下内容：①总体服务方案；②技术服务方案；③具体工作内容及流程；④进度计划及组织保障措施。二、评审标准：根据完整性：内容必须全面，对评审内容中的各项要求有详细描述；可实施性：切合本项目实际情况，提出清晰、合理的内容；针对性：内容能够紧扣项目实际情况，内容科学合理提供相应方案，以序号①、②、③、④为项数，以上4项内容无缺项、无漏项且无缺陷的得16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项目采购内容理解及分析</w:t>
            </w:r>
          </w:p>
        </w:tc>
        <w:tc>
          <w:tcPr>
            <w:tcW w:type="dxa" w:w="2492"/>
          </w:tcPr>
          <w:p>
            <w:pPr>
              <w:pStyle w:val="null3"/>
            </w:pPr>
            <w:r>
              <w:rPr>
                <w:rFonts w:ascii="仿宋_GB2312" w:hAnsi="仿宋_GB2312" w:cs="仿宋_GB2312" w:eastAsia="仿宋_GB2312"/>
              </w:rPr>
              <w:t>一、评审内容：供应商针对本项目提供需求响应方案，方案包含以下内容：①项目理解；②需求分析；③项目重难点分析及解决办法。二、评审标准：根据完整性：内容必须全面，对评审内容中的各项要求有详细描述；可实施性：切合本项目实际情况，提出清晰、合理的内容；针对性：内容能够紧扣项目实际情况，内容科学合理提供相应方案，以序号①、②、③为项数，以上3项内容无缺项、无漏项且无缺陷的得15分，其中每有一项内容存在缺项或漏项的扣5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一、评审内容：供应商针对本项目提供服务质量保证方案，方案包含以下内容：①服务质量保证承诺；②后期服务配合计划；③本项目的合理化建议；④质量控制措施。二、评审标准：根据完整性：内容必须全面，对评审内容中的各项要求有详细描述；可实施性：切合本项目实际情况，提出清晰、合理的内容；针对性：内容能够紧扣项目实际情况，内容科学合理提供相应方案，以序号①、②、③、④为项数，以上4项内容无缺项、无漏项且无缺陷的得12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一、评审内容:供应商针对本项目提供拟投入本项目团队人员配备清单，方案包含以下内容：①人员基本情况；②人员岗位职责分工。 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备注:项目组人员须提供人员与本单位签订的劳动合同或在本单位缴纳的养老保险证明、职称证、学历证、工作经验证明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1、供应商针对本项目拟派的项目负责人具有与本项目相关专业高级职称的得3分，中级职称得1.5分，中级职称以下不得分；2、项目团队中（除项目负责人外）具有与本项目相关专业高级职称人员每提供一个得1分，中级职称人员每提供一个得0.5。此项最高6分。不提供不得分。(需提供证书复印件加盖单位公章，同时需提供人员在与本单位签订的劳动合同或在本单位缴纳的养老保险证明、职称证、学历证、工作经验证明等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廉洁从业及保密措施</w:t>
            </w:r>
          </w:p>
        </w:tc>
        <w:tc>
          <w:tcPr>
            <w:tcW w:type="dxa" w:w="2492"/>
          </w:tcPr>
          <w:p>
            <w:pPr>
              <w:pStyle w:val="null3"/>
            </w:pPr>
            <w:r>
              <w:rPr>
                <w:rFonts w:ascii="仿宋_GB2312" w:hAnsi="仿宋_GB2312" w:cs="仿宋_GB2312" w:eastAsia="仿宋_GB2312"/>
              </w:rPr>
              <w:t>一、评审内容：供应商针对本项目提供廉洁从业及保密措施，方案包含以下内容：①廉洁从业措施；②保密措施。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8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一、评审内容：供应商针对本项目提供应急预案及安全保障措施，方案包含以下内容：①应急突发事件的处理预案；②安全保障措施。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8分，其中每有一项内容存在缺项或漏项的扣4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服务承诺，方案包含以下内容：①服务质量承诺；②服务体系及响应时间。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供应商提供自2023年3月至今（以签订合同时间为准）的类似合同，需提供合同复印件，每提供一份得2分，最高得10分。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 2.磋商报价得分=（磋商基准价/最终磋商报价）×10的公式计算得分。 3.磋商报价不完整的，不进入评标标准价的计算，本项得0分。 4.经评磋商小组一致认定，超过预算金额,其响应将被拒绝。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详见附件：项目人员配置.docx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