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版本号：SCZD2025-ZB-2886-00120260319001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医疗设备(YYZB2025-21)采购项目(三次)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SCZD2025-ZB-2886-001</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医疗设备(YYZB2025-21)采购项目(三次)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SCZD2025-ZB-2886-001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医疗设备(YYZB2025-21)采购项目(三次)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本次采购毛发镜、激光生发治疗仪、充电式电动取皮刀各一台，骨髓细胞形态学图像分析系统两台。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1、法定代表人/单位负责人身份证明书、授权委托书及授权代表在本单位缴纳养老保险证明：投标人参加本项目的合法授权人授权委托书；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信息：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特殊资格审查：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w:t>
      </w:r>
    </w:p>
    <w:p>
      <w:pPr>
        <w:pStyle w:val="null3"/>
      </w:pPr>
      <w:r>
        <w:rPr>
          <w:rFonts w:ascii="仿宋_GB2312" w:hAnsi="仿宋_GB2312" w:cs="仿宋_GB2312" w:eastAsia="仿宋_GB2312"/>
        </w:rPr>
        <w:t>4、特殊资格审查：投标产品属于医疗器械管理范围的须提供医疗器械注册证</w:t>
      </w:r>
    </w:p>
    <w:p>
      <w:pPr>
        <w:pStyle w:val="null3"/>
      </w:pPr>
      <w:r>
        <w:rPr>
          <w:rFonts w:ascii="仿宋_GB2312" w:hAnsi="仿宋_GB2312" w:cs="仿宋_GB2312" w:eastAsia="仿宋_GB2312"/>
        </w:rPr>
        <w:t>5、特殊资格审查：需按照招标公告要求的方式获取招标文件并登记备案，未按招标公告要求的方式获取招标文件并登记备案的投标人均无资格参加投标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银行账号：102862459969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代理服务费收费标准：代理服务费收费标准：按照国家计委颁布的《招标代理服务收费管理暂行办法》（计价格[2002]1980号）规定的招标代理服务收费标准，50万元（不含）以上的项目按照下浮43%进行收取。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联系人：马超、王亚宁</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本次采购毛发镜、激光生发治疗仪、充电式电动取皮刀各一台，骨髓细胞形态学图像分析系统两台。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毛发镜、激光生发治疗仪等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标的名称：毛发镜、激光生发治疗仪等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医疗设备(YYZB2025-21)采购项目</w:t>
            </w:r>
            <w:r>
              <w:rPr>
                <w:rFonts w:ascii="仿宋_GB2312" w:hAnsi="仿宋_GB2312" w:cs="仿宋_GB2312" w:eastAsia="仿宋_GB2312"/>
                <w:sz w:val="21"/>
                <w:b/>
              </w:rPr>
              <w:t>采购清单</w:t>
            </w:r>
          </w:p>
          <w:tbl>
            <w:tblPr>
              <w:tblBorders>
                <w:top w:val="none" w:color="000000" w:sz="4"/>
                <w:left w:val="none" w:color="000000" w:sz="4"/>
                <w:bottom w:val="none" w:color="000000" w:sz="4"/>
                <w:right w:val="none" w:color="000000" w:sz="4"/>
                <w:insideH w:val="none"/>
                <w:insideV w:val="none"/>
              </w:tblBorders>
            </w:tblPr>
            <w:tblGrid>
              <w:gridCol w:w="218"/>
              <w:gridCol w:w="799"/>
              <w:gridCol w:w="266"/>
              <w:gridCol w:w="316"/>
              <w:gridCol w:w="577"/>
              <w:gridCol w:w="331"/>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来源</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最高限价（万元）</w:t>
                  </w:r>
                </w:p>
              </w:tc>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毛发镜</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激光生发治疗仪</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577"/>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充电式电动取皮刀</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577"/>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骨髓细胞形态学图像分析系统</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577"/>
                  <w:vMerge/>
                  <w:tcBorders>
                    <w:top w:val="none" w:color="000000" w:sz="4"/>
                    <w:left w:val="single" w:color="000000" w:sz="4"/>
                    <w:bottom w:val="single" w:color="000000" w:sz="4"/>
                    <w:right w:val="single" w:color="000000" w:sz="4"/>
                  </w:tcBorders>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b/>
              </w:rPr>
              <w:t>一、毛发镜</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整体要求：用于头皮及毛发疾病的辅助诊断与疗效评估，核心应用场景包括：</w:t>
            </w:r>
          </w:p>
          <w:p>
            <w:pPr>
              <w:pStyle w:val="null3"/>
              <w:jc w:val="both"/>
            </w:pPr>
            <w:r>
              <w:rPr>
                <w:rFonts w:ascii="仿宋_GB2312" w:hAnsi="仿宋_GB2312" w:cs="仿宋_GB2312" w:eastAsia="仿宋_GB2312"/>
                <w:sz w:val="21"/>
              </w:rPr>
              <w:t>1.1、脱发类型鉴别；</w:t>
            </w:r>
          </w:p>
          <w:p>
            <w:pPr>
              <w:pStyle w:val="null3"/>
              <w:jc w:val="both"/>
            </w:pPr>
            <w:r>
              <w:rPr>
                <w:rFonts w:ascii="仿宋_GB2312" w:hAnsi="仿宋_GB2312" w:cs="仿宋_GB2312" w:eastAsia="仿宋_GB2312"/>
                <w:sz w:val="21"/>
              </w:rPr>
              <w:t>1.2、头皮病变分析；</w:t>
            </w:r>
          </w:p>
          <w:p>
            <w:pPr>
              <w:pStyle w:val="null3"/>
              <w:jc w:val="both"/>
            </w:pPr>
            <w:r>
              <w:rPr>
                <w:rFonts w:ascii="仿宋_GB2312" w:hAnsi="仿宋_GB2312" w:cs="仿宋_GB2312" w:eastAsia="仿宋_GB2312"/>
                <w:sz w:val="21"/>
              </w:rPr>
              <w:t>1.3、毛发结构评估</w:t>
            </w:r>
            <w:r>
              <w:rPr>
                <w:rFonts w:ascii="仿宋_GB2312" w:hAnsi="仿宋_GB2312" w:cs="仿宋_GB2312" w:eastAsia="仿宋_GB2312"/>
                <w:sz w:val="21"/>
              </w:rPr>
              <w:t>和</w:t>
            </w:r>
            <w:r>
              <w:rPr>
                <w:rFonts w:ascii="仿宋_GB2312" w:hAnsi="仿宋_GB2312" w:cs="仿宋_GB2312" w:eastAsia="仿宋_GB2312"/>
                <w:sz w:val="21"/>
              </w:rPr>
              <w:t>量化分析；</w:t>
            </w:r>
          </w:p>
          <w:p>
            <w:pPr>
              <w:pStyle w:val="null3"/>
              <w:jc w:val="both"/>
            </w:pPr>
            <w:r>
              <w:rPr>
                <w:rFonts w:ascii="仿宋_GB2312" w:hAnsi="仿宋_GB2312" w:cs="仿宋_GB2312" w:eastAsia="仿宋_GB2312"/>
                <w:sz w:val="21"/>
              </w:rPr>
              <w:t>1.4、毛发生长周期研究、药物治疗前后对比；</w:t>
            </w:r>
          </w:p>
          <w:p>
            <w:pPr>
              <w:pStyle w:val="null3"/>
              <w:jc w:val="both"/>
            </w:pPr>
            <w:r>
              <w:rPr>
                <w:rFonts w:ascii="仿宋_GB2312" w:hAnsi="仿宋_GB2312" w:cs="仿宋_GB2312" w:eastAsia="仿宋_GB2312"/>
                <w:sz w:val="21"/>
              </w:rPr>
              <w:t>2.技术参数：</w:t>
            </w:r>
          </w:p>
          <w:p>
            <w:pPr>
              <w:pStyle w:val="null3"/>
              <w:jc w:val="both"/>
            </w:pPr>
            <w:r>
              <w:rPr>
                <w:rFonts w:ascii="仿宋_GB2312" w:hAnsi="仿宋_GB2312" w:cs="仿宋_GB2312" w:eastAsia="仿宋_GB2312"/>
                <w:sz w:val="21"/>
              </w:rPr>
              <w:t>2.1、光学系统物镜倍数：≥20倍（可扩展至≥200倍）；</w:t>
            </w:r>
          </w:p>
          <w:p>
            <w:pPr>
              <w:pStyle w:val="null3"/>
              <w:jc w:val="both"/>
            </w:pPr>
            <w:r>
              <w:rPr>
                <w:rFonts w:ascii="仿宋_GB2312" w:hAnsi="仿宋_GB2312" w:cs="仿宋_GB2312" w:eastAsia="仿宋_GB2312"/>
                <w:sz w:val="21"/>
              </w:rPr>
              <w:t>2.2、目镜/显示屏可同步观察：满足毛囊级微观观察需求；</w:t>
            </w:r>
          </w:p>
          <w:p>
            <w:pPr>
              <w:pStyle w:val="null3"/>
              <w:jc w:val="both"/>
            </w:pPr>
            <w:r>
              <w:rPr>
                <w:rFonts w:ascii="仿宋_GB2312" w:hAnsi="仿宋_GB2312" w:cs="仿宋_GB2312" w:eastAsia="仿宋_GB2312"/>
                <w:sz w:val="21"/>
              </w:rPr>
              <w:t>2.3、成像方式：彩色CMOS传感器，分辨率≥1080P，支持实时动态影像采集；</w:t>
            </w:r>
          </w:p>
          <w:p>
            <w:pPr>
              <w:pStyle w:val="null3"/>
              <w:jc w:val="both"/>
            </w:pPr>
            <w:r>
              <w:rPr>
                <w:rFonts w:ascii="仿宋_GB2312" w:hAnsi="仿宋_GB2312" w:cs="仿宋_GB2312" w:eastAsia="仿宋_GB2312"/>
                <w:sz w:val="21"/>
              </w:rPr>
              <w:t>2.4、照明光源：LED环形无影光源，色温5000K±5%，可调亮度；</w:t>
            </w:r>
          </w:p>
          <w:p>
            <w:pPr>
              <w:pStyle w:val="null3"/>
              <w:jc w:val="both"/>
            </w:pPr>
            <w:r>
              <w:rPr>
                <w:rFonts w:ascii="仿宋_GB2312" w:hAnsi="仿宋_GB2312" w:cs="仿宋_GB2312" w:eastAsia="仿宋_GB2312"/>
                <w:sz w:val="21"/>
              </w:rPr>
              <w:t>2.5、对焦方式：电动精密调焦，带焦点刻度显示；</w:t>
            </w:r>
          </w:p>
          <w:p>
            <w:pPr>
              <w:pStyle w:val="null3"/>
              <w:jc w:val="both"/>
            </w:pPr>
            <w:r>
              <w:rPr>
                <w:rFonts w:ascii="仿宋_GB2312" w:hAnsi="仿宋_GB2312" w:cs="仿宋_GB2312" w:eastAsia="仿宋_GB2312"/>
                <w:sz w:val="21"/>
              </w:rPr>
              <w:t>2.6、视野范围：3mm~20mm可调，兼顾局部细节与整体头皮概览；</w:t>
            </w:r>
          </w:p>
          <w:p>
            <w:pPr>
              <w:pStyle w:val="null3"/>
              <w:jc w:val="both"/>
            </w:pPr>
            <w:r>
              <w:rPr>
                <w:rFonts w:ascii="仿宋_GB2312" w:hAnsi="仿宋_GB2312" w:cs="仿宋_GB2312" w:eastAsia="仿宋_GB2312"/>
                <w:sz w:val="21"/>
              </w:rPr>
              <w:t>2.7、景深调节：多层景深合成技术（软件叠加）；</w:t>
            </w:r>
          </w:p>
          <w:p>
            <w:pPr>
              <w:pStyle w:val="null3"/>
              <w:jc w:val="both"/>
            </w:pPr>
            <w:r>
              <w:rPr>
                <w:rFonts w:ascii="仿宋_GB2312" w:hAnsi="仿宋_GB2312" w:cs="仿宋_GB2312" w:eastAsia="仿宋_GB2312"/>
                <w:sz w:val="21"/>
              </w:rPr>
              <w:t>2.8、图像存储：支持SD卡扩展，可直接保存DICOM/JPEG/AVI格式；</w:t>
            </w:r>
          </w:p>
          <w:p>
            <w:pPr>
              <w:pStyle w:val="null3"/>
              <w:jc w:val="both"/>
            </w:pPr>
            <w:r>
              <w:rPr>
                <w:rFonts w:ascii="仿宋_GB2312" w:hAnsi="仿宋_GB2312" w:cs="仿宋_GB2312" w:eastAsia="仿宋_GB2312"/>
                <w:sz w:val="21"/>
              </w:rPr>
              <w:t>2.9、偏振光模式：交叉偏振滤片；</w:t>
            </w:r>
          </w:p>
          <w:p>
            <w:pPr>
              <w:pStyle w:val="null3"/>
              <w:jc w:val="both"/>
            </w:pPr>
            <w:r>
              <w:rPr>
                <w:rFonts w:ascii="仿宋_GB2312" w:hAnsi="仿宋_GB2312" w:cs="仿宋_GB2312" w:eastAsia="仿宋_GB2312"/>
                <w:sz w:val="21"/>
              </w:rPr>
              <w:t>2.10、接触式压平器：压力可调</w:t>
            </w:r>
            <w:r>
              <w:rPr>
                <w:rFonts w:ascii="仿宋_GB2312" w:hAnsi="仿宋_GB2312" w:cs="仿宋_GB2312" w:eastAsia="仿宋_GB2312"/>
                <w:sz w:val="21"/>
              </w:rPr>
              <w:t>的</w:t>
            </w:r>
            <w:r>
              <w:rPr>
                <w:rFonts w:ascii="仿宋_GB2312" w:hAnsi="仿宋_GB2312" w:cs="仿宋_GB2312" w:eastAsia="仿宋_GB2312"/>
                <w:sz w:val="21"/>
              </w:rPr>
              <w:t>透明硅胶压板，标准化拍摄角度，减少因毛发直立导致的误差</w:t>
            </w:r>
          </w:p>
          <w:p>
            <w:pPr>
              <w:pStyle w:val="null3"/>
              <w:jc w:val="both"/>
            </w:pPr>
            <w:r>
              <w:rPr>
                <w:rFonts w:ascii="仿宋_GB2312" w:hAnsi="仿宋_GB2312" w:cs="仿宋_GB2312" w:eastAsia="仿宋_GB2312"/>
                <w:sz w:val="21"/>
              </w:rPr>
              <w:t>2.11、AI辅助分析：自动识别毛囊单位、计算毛发密度/直径、分类脱发等级；</w:t>
            </w:r>
          </w:p>
          <w:p>
            <w:pPr>
              <w:pStyle w:val="null3"/>
              <w:jc w:val="both"/>
            </w:pPr>
            <w:r>
              <w:rPr>
                <w:rFonts w:ascii="仿宋_GB2312" w:hAnsi="仿宋_GB2312" w:cs="仿宋_GB2312" w:eastAsia="仿宋_GB2312"/>
                <w:sz w:val="21"/>
              </w:rPr>
              <w:t>2.12、三维重建：多角度拍照后生成3D头皮模型，立体化呈现毛囊分布与形态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二、激光生发治疗仪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整体要求</w:t>
            </w:r>
          </w:p>
          <w:p>
            <w:pPr>
              <w:pStyle w:val="null3"/>
              <w:jc w:val="both"/>
            </w:pPr>
            <w:r>
              <w:rPr>
                <w:rFonts w:ascii="仿宋_GB2312" w:hAnsi="仿宋_GB2312" w:cs="仿宋_GB2312" w:eastAsia="仿宋_GB2312"/>
                <w:sz w:val="21"/>
              </w:rPr>
              <w:t>用于治疗雄激素性脱发（</w:t>
            </w:r>
            <w:r>
              <w:rPr>
                <w:rFonts w:ascii="仿宋_GB2312" w:hAnsi="仿宋_GB2312" w:cs="仿宋_GB2312" w:eastAsia="仿宋_GB2312"/>
                <w:sz w:val="21"/>
              </w:rPr>
              <w:t>AGA）、斑秃及其他非瘢痕性脱发，通过低能量激光疗法（LLLT）刺激毛囊细胞活性，促进毛发生长；可作为药物治疗（如米诺地尔、非那雄胺）的辅助手段，或独立用于轻中度脱发患者的物理干预。</w:t>
            </w:r>
          </w:p>
          <w:p>
            <w:pPr>
              <w:pStyle w:val="null3"/>
              <w:jc w:val="both"/>
            </w:pPr>
            <w:r>
              <w:rPr>
                <w:rFonts w:ascii="仿宋_GB2312" w:hAnsi="仿宋_GB2312" w:cs="仿宋_GB2312" w:eastAsia="仿宋_GB2312"/>
                <w:sz w:val="21"/>
              </w:rPr>
              <w:t>2.技术参数：</w:t>
            </w:r>
          </w:p>
          <w:p>
            <w:pPr>
              <w:pStyle w:val="null3"/>
              <w:jc w:val="both"/>
            </w:pPr>
            <w:r>
              <w:rPr>
                <w:rFonts w:ascii="仿宋_GB2312" w:hAnsi="仿宋_GB2312" w:cs="仿宋_GB2312" w:eastAsia="仿宋_GB2312"/>
                <w:sz w:val="21"/>
              </w:rPr>
              <w:t>2.1、激光波长630–670 nm；</w:t>
            </w:r>
          </w:p>
          <w:p>
            <w:pPr>
              <w:pStyle w:val="null3"/>
              <w:jc w:val="both"/>
            </w:pPr>
            <w:r>
              <w:rPr>
                <w:rFonts w:ascii="仿宋_GB2312" w:hAnsi="仿宋_GB2312" w:cs="仿宋_GB2312" w:eastAsia="仿宋_GB2312"/>
                <w:sz w:val="21"/>
              </w:rPr>
              <w:t>2.2、单次输出能量5–15 mW/cm²可调，需覆盖低至中等能量密度，适配不同肤质耐受度；</w:t>
            </w:r>
          </w:p>
          <w:p>
            <w:pPr>
              <w:pStyle w:val="null3"/>
              <w:jc w:val="both"/>
            </w:pPr>
            <w:r>
              <w:rPr>
                <w:rFonts w:ascii="仿宋_GB2312" w:hAnsi="仿宋_GB2312" w:cs="仿宋_GB2312" w:eastAsia="仿宋_GB2312"/>
                <w:sz w:val="21"/>
              </w:rPr>
              <w:t>2.3、照射面积≥200 cm²/次，可覆盖全头或分区治疗；</w:t>
            </w:r>
          </w:p>
          <w:p>
            <w:pPr>
              <w:pStyle w:val="null3"/>
              <w:jc w:val="both"/>
            </w:pPr>
            <w:r>
              <w:rPr>
                <w:rFonts w:ascii="仿宋_GB2312" w:hAnsi="仿宋_GB2312" w:cs="仿宋_GB2312" w:eastAsia="仿宋_GB2312"/>
                <w:sz w:val="21"/>
              </w:rPr>
              <w:t>2.4、支持脉冲/连续模式，连续波 + 脉冲调制，灵活应对敏感头皮与常规治疗；</w:t>
            </w:r>
          </w:p>
          <w:p>
            <w:pPr>
              <w:pStyle w:val="null3"/>
              <w:jc w:val="both"/>
            </w:pPr>
            <w:r>
              <w:rPr>
                <w:rFonts w:ascii="仿宋_GB2312" w:hAnsi="仿宋_GB2312" w:cs="仿宋_GB2312" w:eastAsia="仿宋_GB2312"/>
                <w:sz w:val="21"/>
              </w:rPr>
              <w:t>2.5、冷却系统，接触式半导体制冷（表皮温度≤25℃）或风冷；</w:t>
            </w:r>
          </w:p>
          <w:p>
            <w:pPr>
              <w:pStyle w:val="null3"/>
              <w:jc w:val="both"/>
            </w:pPr>
            <w:r>
              <w:rPr>
                <w:rFonts w:ascii="仿宋_GB2312" w:hAnsi="仿宋_GB2312" w:cs="仿宋_GB2312" w:eastAsia="仿宋_GB2312"/>
                <w:sz w:val="21"/>
              </w:rPr>
              <w:t>2.6、可编程时间设置（5–30分钟），误差±10秒；</w:t>
            </w:r>
          </w:p>
          <w:p>
            <w:pPr>
              <w:pStyle w:val="null3"/>
              <w:jc w:val="both"/>
            </w:pPr>
            <w:r>
              <w:rPr>
                <w:rFonts w:ascii="仿宋_GB2312" w:hAnsi="仿宋_GB2312" w:cs="仿宋_GB2312" w:eastAsia="仿宋_GB2312"/>
                <w:sz w:val="21"/>
              </w:rPr>
              <w:t>2.7、光斑均匀性≥90%（照射区域内能量差异≤10%）避免局部过热或剂量不足；</w:t>
            </w:r>
          </w:p>
          <w:p>
            <w:pPr>
              <w:pStyle w:val="null3"/>
              <w:jc w:val="both"/>
            </w:pPr>
            <w:r>
              <w:rPr>
                <w:rFonts w:ascii="仿宋_GB2312" w:hAnsi="仿宋_GB2312" w:cs="仿宋_GB2312" w:eastAsia="仿宋_GB2312"/>
                <w:sz w:val="21"/>
              </w:rPr>
              <w:t>2.8、多波长组合，可选配红光（650nm）+ 近红外光（830nm）；</w:t>
            </w:r>
          </w:p>
          <w:p>
            <w:pPr>
              <w:pStyle w:val="null3"/>
              <w:jc w:val="both"/>
            </w:pPr>
            <w:r>
              <w:rPr>
                <w:rFonts w:ascii="仿宋_GB2312" w:hAnsi="仿宋_GB2312" w:cs="仿宋_GB2312" w:eastAsia="仿宋_GB2312"/>
                <w:sz w:val="21"/>
              </w:rPr>
              <w:t>2.9、支持智能剂量校准，根据头皮厚度/肤色自动调节输出功率；</w:t>
            </w:r>
          </w:p>
          <w:p>
            <w:pPr>
              <w:pStyle w:val="null3"/>
              <w:jc w:val="both"/>
            </w:pPr>
            <w:r>
              <w:rPr>
                <w:rFonts w:ascii="仿宋_GB2312" w:hAnsi="仿宋_GB2312" w:cs="仿宋_GB2312" w:eastAsia="仿宋_GB2312"/>
                <w:sz w:val="21"/>
              </w:rPr>
              <w:t>2.10、治疗头人体工学设计，弧形贴合头皮，可拆卸消毒险；</w:t>
            </w:r>
          </w:p>
          <w:p>
            <w:pPr>
              <w:pStyle w:val="null3"/>
              <w:jc w:val="both"/>
            </w:pPr>
            <w:r>
              <w:rPr>
                <w:rFonts w:ascii="仿宋_GB2312" w:hAnsi="仿宋_GB2312" w:cs="仿宋_GB2312" w:eastAsia="仿宋_GB2312"/>
                <w:sz w:val="21"/>
              </w:rPr>
              <w:t>2.11、数据管理系统：内置患者档案管理、治疗记录导出（Excel/PDF）、远程监控接口；</w:t>
            </w:r>
          </w:p>
          <w:p>
            <w:pPr>
              <w:pStyle w:val="null3"/>
              <w:jc w:val="both"/>
            </w:pPr>
            <w:r>
              <w:rPr>
                <w:rFonts w:ascii="仿宋_GB2312" w:hAnsi="仿宋_GB2312" w:cs="仿宋_GB2312" w:eastAsia="仿宋_GB2312"/>
                <w:sz w:val="21"/>
              </w:rPr>
              <w:t>2.12、工作噪音 ≤50 dB。</w:t>
            </w:r>
          </w:p>
          <w:p>
            <w:pPr>
              <w:pStyle w:val="null3"/>
              <w:jc w:val="both"/>
            </w:pPr>
            <w:r>
              <w:rPr>
                <w:rFonts w:ascii="仿宋_GB2312" w:hAnsi="仿宋_GB2312" w:cs="仿宋_GB2312" w:eastAsia="仿宋_GB2312"/>
                <w:sz w:val="21"/>
              </w:rPr>
              <w:t>2.13、安全机制：</w:t>
            </w:r>
          </w:p>
          <w:p>
            <w:pPr>
              <w:pStyle w:val="null3"/>
              <w:jc w:val="both"/>
            </w:pPr>
            <w:r>
              <w:rPr>
                <w:rFonts w:ascii="仿宋_GB2312" w:hAnsi="仿宋_GB2312" w:cs="仿宋_GB2312" w:eastAsia="仿宋_GB2312"/>
                <w:sz w:val="21"/>
              </w:rPr>
              <w:t>2.13.1、具备皮肤类型检测：自动识别Fitzpatrick分级，调整能量输出；</w:t>
            </w:r>
          </w:p>
          <w:p>
            <w:pPr>
              <w:pStyle w:val="null3"/>
              <w:jc w:val="both"/>
            </w:pPr>
            <w:r>
              <w:rPr>
                <w:rFonts w:ascii="仿宋_GB2312" w:hAnsi="仿宋_GB2312" w:cs="仿宋_GB2312" w:eastAsia="仿宋_GB2312"/>
                <w:sz w:val="21"/>
              </w:rPr>
              <w:t>2.13.2、具备瞳孔保护装置：佩戴护目镜提示；</w:t>
            </w:r>
          </w:p>
          <w:p>
            <w:pPr>
              <w:pStyle w:val="null3"/>
              <w:jc w:val="both"/>
            </w:pPr>
            <w:r>
              <w:rPr>
                <w:rFonts w:ascii="仿宋_GB2312" w:hAnsi="仿宋_GB2312" w:cs="仿宋_GB2312" w:eastAsia="仿宋_GB2312"/>
                <w:sz w:val="21"/>
              </w:rPr>
              <w:t>2.13.3、具备紧急制动按钮：即时中断治疗。</w:t>
            </w:r>
          </w:p>
          <w:p>
            <w:pPr>
              <w:pStyle w:val="null3"/>
              <w:jc w:val="both"/>
            </w:pPr>
            <w:r>
              <w:rPr>
                <w:rFonts w:ascii="仿宋_GB2312" w:hAnsi="仿宋_GB2312" w:cs="仿宋_GB2312" w:eastAsia="仿宋_GB2312"/>
                <w:sz w:val="21"/>
                <w:b/>
              </w:rPr>
              <w:t>三、充电式电动取皮刀</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整体要求</w:t>
            </w:r>
          </w:p>
          <w:p>
            <w:pPr>
              <w:pStyle w:val="null3"/>
              <w:jc w:val="both"/>
            </w:pPr>
            <w:r>
              <w:rPr>
                <w:rFonts w:ascii="仿宋_GB2312" w:hAnsi="仿宋_GB2312" w:cs="仿宋_GB2312" w:eastAsia="仿宋_GB2312"/>
                <w:sz w:val="21"/>
              </w:rPr>
              <w:t>用于皮肤移植时取皮。</w:t>
            </w:r>
          </w:p>
          <w:p>
            <w:pPr>
              <w:pStyle w:val="null3"/>
              <w:jc w:val="both"/>
            </w:pPr>
            <w:r>
              <w:rPr>
                <w:rFonts w:ascii="仿宋_GB2312" w:hAnsi="仿宋_GB2312" w:cs="仿宋_GB2312" w:eastAsia="仿宋_GB2312"/>
                <w:sz w:val="21"/>
              </w:rPr>
              <w:t>2.技术参数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2.1、手持件采用内置电池动力系统，无主机无连线设计。</w:t>
            </w:r>
          </w:p>
          <w:p>
            <w:pPr>
              <w:pStyle w:val="null3"/>
              <w:jc w:val="both"/>
            </w:pPr>
            <w:r>
              <w:rPr>
                <w:rFonts w:ascii="仿宋_GB2312" w:hAnsi="仿宋_GB2312" w:cs="仿宋_GB2312" w:eastAsia="仿宋_GB2312"/>
                <w:sz w:val="21"/>
              </w:rPr>
              <w:t>2.2、手持件采用7075铝合金材料制作，人体工程学握把设计。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2.3、取皮宽度：25mm、42mm、51mm、76mm可选择。</w:t>
            </w:r>
          </w:p>
          <w:p>
            <w:pPr>
              <w:pStyle w:val="null3"/>
              <w:jc w:val="both"/>
            </w:pPr>
            <w:r>
              <w:rPr>
                <w:rFonts w:ascii="仿宋_GB2312" w:hAnsi="仿宋_GB2312" w:cs="仿宋_GB2312" w:eastAsia="仿宋_GB2312"/>
                <w:sz w:val="21"/>
              </w:rPr>
              <w:t>2.4、取皮厚度0－1.2mm可调，调节跨度≤0.1mm。</w:t>
            </w:r>
          </w:p>
          <w:p>
            <w:pPr>
              <w:pStyle w:val="null3"/>
              <w:jc w:val="both"/>
            </w:pPr>
            <w:r>
              <w:rPr>
                <w:rFonts w:ascii="仿宋_GB2312" w:hAnsi="仿宋_GB2312" w:cs="仿宋_GB2312" w:eastAsia="仿宋_GB2312"/>
                <w:sz w:val="21"/>
              </w:rPr>
              <w:t>2.5、工作转速≥6500r/min。</w:t>
            </w:r>
          </w:p>
          <w:p>
            <w:pPr>
              <w:pStyle w:val="null3"/>
              <w:jc w:val="both"/>
            </w:pPr>
            <w:r>
              <w:rPr>
                <w:rFonts w:ascii="仿宋_GB2312" w:hAnsi="仿宋_GB2312" w:cs="仿宋_GB2312" w:eastAsia="仿宋_GB2312"/>
                <w:sz w:val="21"/>
              </w:rPr>
              <w:t>2.6、配有进口电机，超强动力，低惯性转动时几乎不会产生任何震动。</w:t>
            </w:r>
          </w:p>
          <w:p>
            <w:pPr>
              <w:pStyle w:val="null3"/>
              <w:jc w:val="both"/>
            </w:pPr>
            <w:r>
              <w:rPr>
                <w:rFonts w:ascii="仿宋_GB2312" w:hAnsi="仿宋_GB2312" w:cs="仿宋_GB2312" w:eastAsia="仿宋_GB2312"/>
                <w:sz w:val="21"/>
              </w:rPr>
              <w:t>2.7、刀片为医用不锈钢材质，规格≥80mm，硬度≥650HV10；具有自润滑功能。</w:t>
            </w:r>
          </w:p>
          <w:p>
            <w:pPr>
              <w:pStyle w:val="null3"/>
              <w:jc w:val="both"/>
            </w:pPr>
            <w:r>
              <w:rPr>
                <w:rFonts w:ascii="仿宋_GB2312" w:hAnsi="仿宋_GB2312" w:cs="仿宋_GB2312" w:eastAsia="仿宋_GB2312"/>
                <w:sz w:val="21"/>
              </w:rPr>
              <w:t>2.8、控制方式：手持式控制，具有安全开关设计，可防止误操作。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2.9、充电器：同时可充电池数≥2套，具备电量显示和过充保护功能。</w:t>
            </w:r>
          </w:p>
          <w:p>
            <w:pPr>
              <w:pStyle w:val="null3"/>
              <w:jc w:val="both"/>
            </w:pPr>
            <w:r>
              <w:rPr>
                <w:rFonts w:ascii="仿宋_GB2312" w:hAnsi="仿宋_GB2312" w:cs="仿宋_GB2312" w:eastAsia="仿宋_GB2312"/>
                <w:sz w:val="21"/>
              </w:rPr>
              <w:t>2.10、电池具备免消毒设计。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2.11、具备无菌更换电池通道。</w:t>
            </w:r>
          </w:p>
          <w:p>
            <w:pPr>
              <w:pStyle w:val="null3"/>
              <w:jc w:val="both"/>
            </w:pPr>
            <w:r>
              <w:rPr>
                <w:rFonts w:ascii="仿宋_GB2312" w:hAnsi="仿宋_GB2312" w:cs="仿宋_GB2312" w:eastAsia="仿宋_GB2312"/>
                <w:sz w:val="21"/>
              </w:rPr>
              <w:t>2.12、电子元件组集成在电池组上，。</w:t>
            </w:r>
          </w:p>
          <w:p>
            <w:pPr>
              <w:pStyle w:val="null3"/>
              <w:jc w:val="both"/>
            </w:pPr>
            <w:r>
              <w:rPr>
                <w:rFonts w:ascii="仿宋_GB2312" w:hAnsi="仿宋_GB2312" w:cs="仿宋_GB2312" w:eastAsia="仿宋_GB2312"/>
                <w:sz w:val="21"/>
              </w:rPr>
              <w:t>2.13、保护等级：I级，防电击等级：BF型；防进液等级：IPXO。</w:t>
            </w:r>
          </w:p>
          <w:p>
            <w:pPr>
              <w:pStyle w:val="null3"/>
              <w:jc w:val="both"/>
            </w:pPr>
            <w:r>
              <w:rPr>
                <w:rFonts w:ascii="仿宋_GB2312" w:hAnsi="仿宋_GB2312" w:cs="仿宋_GB2312" w:eastAsia="仿宋_GB2312"/>
                <w:sz w:val="21"/>
              </w:rPr>
              <w:t>2.14、消毒方式：支持高温高压消毒，环氧乙烷等多种方式。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2.15、具备特制高压灭菌盒，防止马达和电池被误操作消毒。</w:t>
            </w:r>
          </w:p>
          <w:p>
            <w:pPr>
              <w:pStyle w:val="null3"/>
              <w:jc w:val="both"/>
            </w:pPr>
            <w:r>
              <w:rPr>
                <w:rFonts w:ascii="仿宋_GB2312" w:hAnsi="仿宋_GB2312" w:cs="仿宋_GB2312" w:eastAsia="仿宋_GB2312"/>
                <w:sz w:val="21"/>
              </w:rPr>
              <w:t>2.16、配备专用刀片更换工具一套。</w:t>
            </w:r>
          </w:p>
          <w:p>
            <w:pPr>
              <w:pStyle w:val="null3"/>
              <w:spacing w:before="120"/>
              <w:jc w:val="both"/>
            </w:pPr>
            <w:r>
              <w:rPr>
                <w:rFonts w:ascii="仿宋_GB2312" w:hAnsi="仿宋_GB2312" w:cs="仿宋_GB2312" w:eastAsia="仿宋_GB2312"/>
                <w:sz w:val="21"/>
              </w:rPr>
              <w:t>3.配置清单</w:t>
            </w:r>
          </w:p>
          <w:p>
            <w:pPr>
              <w:pStyle w:val="null3"/>
              <w:spacing w:before="120"/>
              <w:jc w:val="both"/>
            </w:pPr>
            <w:r>
              <w:rPr>
                <w:rFonts w:ascii="仿宋_GB2312" w:hAnsi="仿宋_GB2312" w:cs="仿宋_GB2312" w:eastAsia="仿宋_GB2312"/>
                <w:sz w:val="21"/>
              </w:rPr>
              <w:t>3.1.主机：1套（含动力系统和2个电池）</w:t>
            </w:r>
          </w:p>
          <w:p>
            <w:pPr>
              <w:pStyle w:val="null3"/>
              <w:spacing w:before="120"/>
              <w:jc w:val="both"/>
            </w:pPr>
            <w:r>
              <w:rPr>
                <w:rFonts w:ascii="仿宋_GB2312" w:hAnsi="仿宋_GB2312" w:cs="仿宋_GB2312" w:eastAsia="仿宋_GB2312"/>
                <w:sz w:val="21"/>
              </w:rPr>
              <w:t>3.2.充电器：1个</w:t>
            </w:r>
          </w:p>
          <w:p>
            <w:pPr>
              <w:pStyle w:val="null3"/>
              <w:spacing w:before="120"/>
              <w:jc w:val="both"/>
            </w:pPr>
            <w:r>
              <w:rPr>
                <w:rFonts w:ascii="仿宋_GB2312" w:hAnsi="仿宋_GB2312" w:cs="仿宋_GB2312" w:eastAsia="仿宋_GB2312"/>
                <w:sz w:val="21"/>
              </w:rPr>
              <w:t>3.3.宽度盖板：1套4个</w:t>
            </w:r>
          </w:p>
          <w:p>
            <w:pPr>
              <w:pStyle w:val="null3"/>
              <w:spacing w:before="120"/>
              <w:jc w:val="both"/>
            </w:pPr>
            <w:r>
              <w:rPr>
                <w:rFonts w:ascii="仿宋_GB2312" w:hAnsi="仿宋_GB2312" w:cs="仿宋_GB2312" w:eastAsia="仿宋_GB2312"/>
                <w:sz w:val="21"/>
              </w:rPr>
              <w:t>3.4.专用消毒盒：1个</w:t>
            </w:r>
          </w:p>
          <w:p>
            <w:pPr>
              <w:pStyle w:val="null3"/>
              <w:spacing w:before="120"/>
              <w:jc w:val="both"/>
            </w:pPr>
            <w:r>
              <w:rPr>
                <w:rFonts w:ascii="仿宋_GB2312" w:hAnsi="仿宋_GB2312" w:cs="仿宋_GB2312" w:eastAsia="仿宋_GB2312"/>
                <w:sz w:val="21"/>
              </w:rPr>
              <w:t>3.5.刀片：10片</w:t>
            </w:r>
          </w:p>
          <w:p>
            <w:pPr>
              <w:pStyle w:val="null3"/>
              <w:spacing w:before="120"/>
              <w:jc w:val="both"/>
            </w:pPr>
            <w:r>
              <w:rPr>
                <w:rFonts w:ascii="仿宋_GB2312" w:hAnsi="仿宋_GB2312" w:cs="仿宋_GB2312" w:eastAsia="仿宋_GB2312"/>
                <w:sz w:val="21"/>
              </w:rPr>
              <w:t>3.6.器械箱：1个</w:t>
            </w:r>
          </w:p>
          <w:p>
            <w:pPr>
              <w:pStyle w:val="null3"/>
              <w:jc w:val="both"/>
            </w:pPr>
            <w:r>
              <w:rPr>
                <w:rFonts w:ascii="仿宋_GB2312" w:hAnsi="仿宋_GB2312" w:cs="仿宋_GB2312" w:eastAsia="仿宋_GB2312"/>
                <w:sz w:val="21"/>
                <w:b/>
              </w:rPr>
              <w:t>四、骨髓细胞形态学图像分析系统</w:t>
            </w:r>
          </w:p>
          <w:p>
            <w:pPr>
              <w:pStyle w:val="null3"/>
              <w:jc w:val="both"/>
            </w:pPr>
            <w:r>
              <w:rPr>
                <w:rFonts w:ascii="仿宋_GB2312" w:hAnsi="仿宋_GB2312" w:cs="仿宋_GB2312" w:eastAsia="仿宋_GB2312"/>
                <w:sz w:val="21"/>
              </w:rPr>
              <w:t>1.主要功能</w:t>
            </w:r>
          </w:p>
          <w:p>
            <w:pPr>
              <w:pStyle w:val="null3"/>
              <w:jc w:val="both"/>
            </w:pPr>
            <w:r>
              <w:rPr>
                <w:rFonts w:ascii="仿宋_GB2312" w:hAnsi="仿宋_GB2312" w:cs="仿宋_GB2312" w:eastAsia="仿宋_GB2312"/>
                <w:sz w:val="21"/>
              </w:rPr>
              <w:t>用于进行骨髓细胞形态学图像分析及出具临床检查报告。</w:t>
            </w:r>
          </w:p>
          <w:p>
            <w:pPr>
              <w:pStyle w:val="null3"/>
              <w:jc w:val="both"/>
            </w:pPr>
            <w:r>
              <w:rPr>
                <w:rFonts w:ascii="仿宋_GB2312" w:hAnsi="仿宋_GB2312" w:cs="仿宋_GB2312" w:eastAsia="仿宋_GB2312"/>
                <w:sz w:val="21"/>
              </w:rPr>
              <w:t>2.技术参数</w:t>
            </w:r>
          </w:p>
          <w:p>
            <w:pPr>
              <w:pStyle w:val="null3"/>
              <w:jc w:val="both"/>
            </w:pPr>
            <w:r>
              <w:rPr>
                <w:rFonts w:ascii="仿宋_GB2312" w:hAnsi="仿宋_GB2312" w:cs="仿宋_GB2312" w:eastAsia="仿宋_GB2312"/>
                <w:sz w:val="21"/>
              </w:rPr>
              <w:t>2.1.骨髓细胞形态学图像分析系统技术参数：</w:t>
            </w:r>
          </w:p>
          <w:p>
            <w:pPr>
              <w:pStyle w:val="null3"/>
              <w:jc w:val="both"/>
            </w:pPr>
            <w:r>
              <w:rPr>
                <w:rFonts w:ascii="仿宋_GB2312" w:hAnsi="仿宋_GB2312" w:cs="仿宋_GB2312" w:eastAsia="仿宋_GB2312"/>
                <w:sz w:val="21"/>
              </w:rPr>
              <w:t>2.1.1.多流程支持：支持多种工作流程，如骨髓象、细胞形态学、脑脊液、胸腹水、关节腔液、肺泡灌洗液、组织活检等检查，支持工作界面调整，用户可以根据自己的操作习惯编辑工作流程以及工作界面。支持连接专用计数器及计数器离线使用。</w:t>
            </w:r>
          </w:p>
          <w:p>
            <w:pPr>
              <w:pStyle w:val="null3"/>
              <w:jc w:val="both"/>
            </w:pPr>
            <w:r>
              <w:rPr>
                <w:rFonts w:ascii="仿宋_GB2312" w:hAnsi="仿宋_GB2312" w:cs="仿宋_GB2312" w:eastAsia="仿宋_GB2312"/>
                <w:sz w:val="21"/>
              </w:rPr>
              <w:t>2.1.2.细胞计数仪：支持手动计数、键盘计数、鼠标计数等多种计数方式。</w:t>
            </w:r>
          </w:p>
          <w:p>
            <w:pPr>
              <w:pStyle w:val="null3"/>
              <w:jc w:val="both"/>
            </w:pPr>
            <w:r>
              <w:rPr>
                <w:rFonts w:ascii="仿宋_GB2312" w:hAnsi="仿宋_GB2312" w:cs="仿宋_GB2312" w:eastAsia="仿宋_GB2312"/>
                <w:sz w:val="21"/>
              </w:rPr>
              <w:t>2.1.3.查询、统计：可根据多个条件来组合查询或统计病例，支持快捷查询，所有项目支持模糊查询，也可以进行精确查询。可实现多级模糊查询，实时显示报告当前所处的状态、不同状态报告分颜色显示。查询记录可进行以下操作：EXCEL导出、WORD导出、电子病历导出、报告批量打印。</w:t>
            </w:r>
          </w:p>
          <w:p>
            <w:pPr>
              <w:pStyle w:val="null3"/>
              <w:jc w:val="both"/>
            </w:pPr>
            <w:r>
              <w:rPr>
                <w:rFonts w:ascii="仿宋_GB2312" w:hAnsi="仿宋_GB2312" w:cs="仿宋_GB2312" w:eastAsia="仿宋_GB2312"/>
                <w:sz w:val="21"/>
              </w:rPr>
              <w:t>2.1.4.报告发布：报告打印完成后，提供自动审核、发布等配置选项，也可以使用定时审核、发布功能，用户可配置报告发布内容，支持批量发布。</w:t>
            </w:r>
          </w:p>
          <w:p>
            <w:pPr>
              <w:pStyle w:val="null3"/>
              <w:jc w:val="both"/>
            </w:pPr>
            <w:r>
              <w:rPr>
                <w:rFonts w:ascii="仿宋_GB2312" w:hAnsi="仿宋_GB2312" w:cs="仿宋_GB2312" w:eastAsia="仿宋_GB2312"/>
                <w:sz w:val="21"/>
              </w:rPr>
              <w:t>2.1.5.批量打印：可选择某天或某段时间内的报告统一批量打印。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2.1.6.病例锁定，当某一医师在操作某一病例时，此病例呈锁定操作中状态，其他人无法同步操作，避免多人同时操作同一病例造成错误。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2.1.7.典型病例：可以将感兴趣的病例直接添加为典型病例，分为个人和科室典型病理，可分类管理，不影响病例的原始资料。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2.1.8.图片处理：可对采集的图片可进行文字、箭头、范围等方式进行标注，支持定标、测量、以及常用图片后处理功能，如：RBG、亮度、饱和度、图像旋转等。</w:t>
            </w:r>
          </w:p>
          <w:p>
            <w:pPr>
              <w:pStyle w:val="null3"/>
              <w:jc w:val="both"/>
            </w:pPr>
            <w:r>
              <w:rPr>
                <w:rFonts w:ascii="仿宋_GB2312" w:hAnsi="仿宋_GB2312" w:cs="仿宋_GB2312" w:eastAsia="仿宋_GB2312"/>
                <w:sz w:val="21"/>
              </w:rPr>
              <w:t>2.1.9.数据回收站：防止误操作，病例被删除后，软件会自动收集到回收站，可选择再次恢复数据，包括文字信息和图片信息，也可以使用数据清空彻底删除病例，最大限度保护病例资料。</w:t>
            </w:r>
          </w:p>
          <w:p>
            <w:pPr>
              <w:pStyle w:val="null3"/>
              <w:jc w:val="both"/>
            </w:pPr>
            <w:r>
              <w:rPr>
                <w:rFonts w:ascii="仿宋_GB2312" w:hAnsi="仿宋_GB2312" w:cs="仿宋_GB2312" w:eastAsia="仿宋_GB2312"/>
                <w:sz w:val="21"/>
              </w:rPr>
              <w:t>2.1.10.专业形态分析模块具备以下功能：</w:t>
            </w:r>
          </w:p>
          <w:p>
            <w:pPr>
              <w:pStyle w:val="null3"/>
              <w:jc w:val="both"/>
            </w:pPr>
            <w:r>
              <w:rPr>
                <w:rFonts w:ascii="仿宋_GB2312" w:hAnsi="仿宋_GB2312" w:cs="仿宋_GB2312" w:eastAsia="仿宋_GB2312"/>
                <w:sz w:val="21"/>
              </w:rPr>
              <w:t>2.1.10.1.背景平衡功能</w:t>
            </w:r>
          </w:p>
          <w:p>
            <w:pPr>
              <w:pStyle w:val="null3"/>
              <w:jc w:val="both"/>
            </w:pPr>
            <w:r>
              <w:rPr>
                <w:rFonts w:ascii="仿宋_GB2312" w:hAnsi="仿宋_GB2312" w:cs="仿宋_GB2312" w:eastAsia="仿宋_GB2312"/>
                <w:sz w:val="21"/>
              </w:rPr>
              <w:t>2.1.10.2.多种形式的特征范围的选取</w:t>
            </w:r>
          </w:p>
          <w:p>
            <w:pPr>
              <w:pStyle w:val="null3"/>
              <w:jc w:val="both"/>
            </w:pPr>
            <w:r>
              <w:rPr>
                <w:rFonts w:ascii="仿宋_GB2312" w:hAnsi="仿宋_GB2312" w:cs="仿宋_GB2312" w:eastAsia="仿宋_GB2312"/>
                <w:sz w:val="21"/>
              </w:rPr>
              <w:t>2.1.10.3.图像目标大小、形状、体积、光密度等多种参数测量与显示</w:t>
            </w:r>
          </w:p>
          <w:p>
            <w:pPr>
              <w:pStyle w:val="null3"/>
              <w:jc w:val="both"/>
            </w:pPr>
            <w:r>
              <w:rPr>
                <w:rFonts w:ascii="仿宋_GB2312" w:hAnsi="仿宋_GB2312" w:cs="仿宋_GB2312" w:eastAsia="仿宋_GB2312"/>
                <w:sz w:val="21"/>
              </w:rPr>
              <w:t>2.1.10.4.图像目标大小、形状、体积、光密度等多种参数分析结果统计</w:t>
            </w:r>
          </w:p>
          <w:p>
            <w:pPr>
              <w:pStyle w:val="null3"/>
              <w:jc w:val="both"/>
            </w:pPr>
            <w:r>
              <w:rPr>
                <w:rFonts w:ascii="仿宋_GB2312" w:hAnsi="仿宋_GB2312" w:cs="仿宋_GB2312" w:eastAsia="仿宋_GB2312"/>
                <w:sz w:val="21"/>
              </w:rPr>
              <w:t>2.1.10.5.核浆比、多层面积比、多层数目比等参数分析计算</w:t>
            </w:r>
          </w:p>
          <w:p>
            <w:pPr>
              <w:pStyle w:val="null3"/>
              <w:jc w:val="both"/>
            </w:pPr>
            <w:r>
              <w:rPr>
                <w:rFonts w:ascii="仿宋_GB2312" w:hAnsi="仿宋_GB2312" w:cs="仿宋_GB2312" w:eastAsia="仿宋_GB2312"/>
                <w:sz w:val="21"/>
              </w:rPr>
              <w:t>2.1.10.6.手动多角度、多形式的测量与分析</w:t>
            </w:r>
          </w:p>
          <w:p>
            <w:pPr>
              <w:pStyle w:val="null3"/>
              <w:jc w:val="both"/>
            </w:pPr>
            <w:r>
              <w:rPr>
                <w:rFonts w:ascii="仿宋_GB2312" w:hAnsi="仿宋_GB2312" w:cs="仿宋_GB2312" w:eastAsia="仿宋_GB2312"/>
                <w:sz w:val="21"/>
              </w:rPr>
              <w:t>2.1.10.7.图像分析测量数据与word、excel数据交换功能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2.1.10.8.图像处理与增强：对不同明暗环境下采集的图像作自动或手动白平衡处理，以使计算分析结果更准确；对待测图像进行中英文注解、滤波处理。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2.1.10.9.图像参数测量与分析：图像定量分析提供点、线、面积和角度测量四大类；提供多种的测量参数，如面积、周长、长轴、短轴、形态因子、异型指数、圆形度、平均灰度、平均光密度、积分光密度、绝对光密度、光密方差度、核浆比等；自动对目标图像进行分割、计算、统计、归类等操作，并可自动编号，逐个显示被跟踪目标的全部参数；用户可自行设置测量参数或编辑用户所需测量参数，并可进行分类。</w:t>
            </w:r>
          </w:p>
          <w:p>
            <w:pPr>
              <w:pStyle w:val="null3"/>
              <w:jc w:val="both"/>
            </w:pPr>
            <w:r>
              <w:rPr>
                <w:rFonts w:ascii="仿宋_GB2312" w:hAnsi="仿宋_GB2312" w:cs="仿宋_GB2312" w:eastAsia="仿宋_GB2312"/>
                <w:sz w:val="21"/>
              </w:rPr>
              <w:t>2.1.11.图像定标和校正：可定标图像到任何测量单位，并以实际尺寸参数对目标进行分析计算，并可以将相应的标尺显示在图片上定倍打印。</w:t>
            </w:r>
          </w:p>
          <w:p>
            <w:pPr>
              <w:pStyle w:val="null3"/>
              <w:jc w:val="both"/>
            </w:pPr>
            <w:r>
              <w:rPr>
                <w:rFonts w:ascii="仿宋_GB2312" w:hAnsi="仿宋_GB2312" w:cs="仿宋_GB2312" w:eastAsia="仿宋_GB2312"/>
                <w:sz w:val="21"/>
              </w:rPr>
              <w:t>2.1.12.多种形式的标注功能：各类线、各种区域、中文、英文、箭头等各种形式的标注功能，并支持将标注直接保存到图片上。</w:t>
            </w:r>
          </w:p>
          <w:p>
            <w:pPr>
              <w:pStyle w:val="null3"/>
              <w:jc w:val="both"/>
            </w:pPr>
            <w:r>
              <w:rPr>
                <w:rFonts w:ascii="仿宋_GB2312" w:hAnsi="仿宋_GB2312" w:cs="仿宋_GB2312" w:eastAsia="仿宋_GB2312"/>
                <w:sz w:val="21"/>
              </w:rPr>
              <w:t>2.1.13.结果输出和打印：所有分析测量数据均可动态连接到WORD、EXCEL以及SPSS等软件作进一步统计处理；可直接把图片和分析图表导入到WORD或剪贴板中进行处理打印；提供交互式结果数据图表，提供饼图、柱型图、曲线图等图表显示。</w:t>
            </w:r>
          </w:p>
          <w:p>
            <w:pPr>
              <w:pStyle w:val="null3"/>
              <w:jc w:val="both"/>
            </w:pPr>
            <w:r>
              <w:rPr>
                <w:rFonts w:ascii="仿宋_GB2312" w:hAnsi="仿宋_GB2312" w:cs="仿宋_GB2312" w:eastAsia="仿宋_GB2312"/>
                <w:sz w:val="21"/>
              </w:rPr>
              <w:t>2.1.14.预留医院信息化对接接口。</w:t>
            </w:r>
          </w:p>
          <w:p>
            <w:pPr>
              <w:pStyle w:val="null3"/>
              <w:jc w:val="both"/>
            </w:pPr>
            <w:r>
              <w:rPr>
                <w:rFonts w:ascii="仿宋_GB2312" w:hAnsi="仿宋_GB2312" w:cs="仿宋_GB2312" w:eastAsia="仿宋_GB2312"/>
                <w:sz w:val="21"/>
              </w:rPr>
              <w:t>2.2.三目显微镜技术参数：</w:t>
            </w:r>
          </w:p>
          <w:p>
            <w:pPr>
              <w:pStyle w:val="null3"/>
              <w:jc w:val="both"/>
            </w:pPr>
            <w:r>
              <w:rPr>
                <w:rFonts w:ascii="仿宋_GB2312" w:hAnsi="仿宋_GB2312" w:cs="仿宋_GB2312" w:eastAsia="仿宋_GB2312"/>
                <w:sz w:val="21"/>
              </w:rPr>
              <w:t>2.2.1.光学系统：无限远校正光学系统，齐焦距离45mm</w:t>
            </w:r>
          </w:p>
          <w:p>
            <w:pPr>
              <w:pStyle w:val="null3"/>
              <w:jc w:val="both"/>
            </w:pPr>
            <w:r>
              <w:rPr>
                <w:rFonts w:ascii="仿宋_GB2312" w:hAnsi="仿宋_GB2312" w:cs="仿宋_GB2312" w:eastAsia="仿宋_GB2312"/>
                <w:sz w:val="21"/>
              </w:rPr>
              <w:t>2.2.2.调焦系统：载物台垂直运动方向距离≥25mm，最小微调刻度单位≤1微米</w:t>
            </w:r>
          </w:p>
          <w:p>
            <w:pPr>
              <w:pStyle w:val="null3"/>
              <w:jc w:val="both"/>
            </w:pPr>
            <w:r>
              <w:rPr>
                <w:rFonts w:ascii="仿宋_GB2312" w:hAnsi="仿宋_GB2312" w:cs="仿宋_GB2312" w:eastAsia="仿宋_GB2312"/>
                <w:sz w:val="21"/>
              </w:rPr>
              <w:t>2.2.3.观察镜筒：宽场三目观察筒，倾角为≥30°</w:t>
            </w:r>
          </w:p>
          <w:p>
            <w:pPr>
              <w:pStyle w:val="null3"/>
              <w:jc w:val="both"/>
            </w:pPr>
            <w:r>
              <w:rPr>
                <w:rFonts w:ascii="仿宋_GB2312" w:hAnsi="仿宋_GB2312" w:cs="仿宋_GB2312" w:eastAsia="仿宋_GB2312"/>
                <w:sz w:val="21"/>
              </w:rPr>
              <w:t>2.2.4.照明装置：LED光源，内置透射光柯勒照明器。</w:t>
            </w:r>
          </w:p>
          <w:p>
            <w:pPr>
              <w:pStyle w:val="null3"/>
              <w:jc w:val="both"/>
            </w:pPr>
            <w:r>
              <w:rPr>
                <w:rFonts w:ascii="仿宋_GB2312" w:hAnsi="仿宋_GB2312" w:cs="仿宋_GB2312" w:eastAsia="仿宋_GB2312"/>
                <w:sz w:val="21"/>
              </w:rPr>
              <w:t>2.2.5.物镜：平场消色差物镜</w:t>
            </w:r>
          </w:p>
          <w:p>
            <w:pPr>
              <w:pStyle w:val="null3"/>
              <w:jc w:val="both"/>
            </w:pPr>
            <w:r>
              <w:rPr>
                <w:rFonts w:ascii="仿宋_GB2312" w:hAnsi="仿宋_GB2312" w:cs="仿宋_GB2312" w:eastAsia="仿宋_GB2312"/>
                <w:sz w:val="21"/>
              </w:rPr>
              <w:t>4X物镜（N.A.≥0.1，W.D.≥18.5）</w:t>
            </w:r>
          </w:p>
          <w:p>
            <w:pPr>
              <w:pStyle w:val="null3"/>
              <w:jc w:val="both"/>
            </w:pPr>
            <w:r>
              <w:rPr>
                <w:rFonts w:ascii="仿宋_GB2312" w:hAnsi="仿宋_GB2312" w:cs="仿宋_GB2312" w:eastAsia="仿宋_GB2312"/>
                <w:sz w:val="21"/>
              </w:rPr>
              <w:t>10X物镜（N.A.≥0.25，W.D.≥10.6）</w:t>
            </w:r>
          </w:p>
          <w:p>
            <w:pPr>
              <w:pStyle w:val="null3"/>
              <w:jc w:val="both"/>
            </w:pPr>
            <w:r>
              <w:rPr>
                <w:rFonts w:ascii="仿宋_GB2312" w:hAnsi="仿宋_GB2312" w:cs="仿宋_GB2312" w:eastAsia="仿宋_GB2312"/>
                <w:sz w:val="21"/>
              </w:rPr>
              <w:t>20X物镜（N.A.≥0.4，W.D.≥1.2）</w:t>
            </w:r>
          </w:p>
          <w:p>
            <w:pPr>
              <w:pStyle w:val="null3"/>
              <w:jc w:val="both"/>
            </w:pPr>
            <w:r>
              <w:rPr>
                <w:rFonts w:ascii="仿宋_GB2312" w:hAnsi="仿宋_GB2312" w:cs="仿宋_GB2312" w:eastAsia="仿宋_GB2312"/>
                <w:sz w:val="21"/>
              </w:rPr>
              <w:t>40X物镜（N.A.≥0.65，W.D.≥0.6）</w:t>
            </w:r>
          </w:p>
          <w:p>
            <w:pPr>
              <w:pStyle w:val="null3"/>
              <w:jc w:val="both"/>
            </w:pPr>
            <w:r>
              <w:rPr>
                <w:rFonts w:ascii="仿宋_GB2312" w:hAnsi="仿宋_GB2312" w:cs="仿宋_GB2312" w:eastAsia="仿宋_GB2312"/>
                <w:sz w:val="21"/>
              </w:rPr>
              <w:t>100X物镜（N.A.≥1.25，W.D.≥0.15，油镜）</w:t>
            </w:r>
          </w:p>
          <w:p>
            <w:pPr>
              <w:pStyle w:val="null3"/>
              <w:jc w:val="both"/>
            </w:pPr>
            <w:r>
              <w:rPr>
                <w:rFonts w:ascii="仿宋_GB2312" w:hAnsi="仿宋_GB2312" w:cs="仿宋_GB2312" w:eastAsia="仿宋_GB2312"/>
                <w:sz w:val="21"/>
              </w:rPr>
              <w:t>2.2.6.目镜：10X宽视野目镜，带屈光度校准</w:t>
            </w:r>
          </w:p>
          <w:p>
            <w:pPr>
              <w:pStyle w:val="null3"/>
              <w:jc w:val="both"/>
            </w:pPr>
            <w:r>
              <w:rPr>
                <w:rFonts w:ascii="仿宋_GB2312" w:hAnsi="仿宋_GB2312" w:cs="仿宋_GB2312" w:eastAsia="仿宋_GB2312"/>
                <w:sz w:val="21"/>
              </w:rPr>
              <w:t>2.3.数字摄像头技术参数：</w:t>
            </w:r>
          </w:p>
          <w:p>
            <w:pPr>
              <w:pStyle w:val="null3"/>
              <w:jc w:val="both"/>
            </w:pPr>
            <w:r>
              <w:rPr>
                <w:rFonts w:ascii="仿宋_GB2312" w:hAnsi="仿宋_GB2312" w:cs="仿宋_GB2312" w:eastAsia="仿宋_GB2312"/>
                <w:sz w:val="21"/>
              </w:rPr>
              <w:t>2.3.1.彩色数字摄像头，像素≥2000万，感光芯片≥1英寸，分辨率≥3664*2748，ADC≥10-bit,逐行扫描，具备USB3.0接口；</w:t>
            </w:r>
          </w:p>
          <w:p>
            <w:pPr>
              <w:pStyle w:val="null3"/>
              <w:jc w:val="both"/>
            </w:pPr>
            <w:r>
              <w:rPr>
                <w:rFonts w:ascii="仿宋_GB2312" w:hAnsi="仿宋_GB2312" w:cs="仿宋_GB2312" w:eastAsia="仿宋_GB2312"/>
                <w:sz w:val="21"/>
              </w:rPr>
              <w:t>2.3.2.预览速度≥10fps；</w:t>
            </w:r>
          </w:p>
          <w:p>
            <w:pPr>
              <w:pStyle w:val="null3"/>
              <w:jc w:val="both"/>
            </w:pPr>
            <w:r>
              <w:rPr>
                <w:rFonts w:ascii="仿宋_GB2312" w:hAnsi="仿宋_GB2312" w:cs="仿宋_GB2312" w:eastAsia="仿宋_GB2312"/>
                <w:sz w:val="21"/>
              </w:rPr>
              <w:t>2.3.3.支持自动/手动曝光，曝光时间1～500ms可调；</w:t>
            </w:r>
          </w:p>
          <w:p>
            <w:pPr>
              <w:pStyle w:val="null3"/>
              <w:jc w:val="both"/>
            </w:pPr>
            <w:r>
              <w:rPr>
                <w:rFonts w:ascii="仿宋_GB2312" w:hAnsi="仿宋_GB2312" w:cs="仿宋_GB2312" w:eastAsia="仿宋_GB2312"/>
                <w:sz w:val="21"/>
              </w:rPr>
              <w:t>2.3.4.支持avi等多种格式的动态录像功能；</w:t>
            </w:r>
          </w:p>
          <w:p>
            <w:pPr>
              <w:pStyle w:val="null3"/>
              <w:jc w:val="both"/>
            </w:pPr>
            <w:r>
              <w:rPr>
                <w:rFonts w:ascii="仿宋_GB2312" w:hAnsi="仿宋_GB2312" w:cs="仿宋_GB2312" w:eastAsia="仿宋_GB2312"/>
                <w:sz w:val="21"/>
              </w:rPr>
              <w:t>2.3.5.支持控制全视场ROI缩放预览功能；</w:t>
            </w:r>
          </w:p>
          <w:p>
            <w:pPr>
              <w:pStyle w:val="null3"/>
              <w:jc w:val="both"/>
            </w:pPr>
            <w:r>
              <w:rPr>
                <w:rFonts w:ascii="仿宋_GB2312" w:hAnsi="仿宋_GB2312" w:cs="仿宋_GB2312" w:eastAsia="仿宋_GB2312"/>
                <w:sz w:val="21"/>
              </w:rPr>
              <w:t>2.4.细胞计数器技术参数：</w:t>
            </w:r>
          </w:p>
          <w:p>
            <w:pPr>
              <w:pStyle w:val="null3"/>
              <w:jc w:val="both"/>
            </w:pPr>
            <w:r>
              <w:rPr>
                <w:rFonts w:ascii="仿宋_GB2312" w:hAnsi="仿宋_GB2312" w:cs="仿宋_GB2312" w:eastAsia="仿宋_GB2312"/>
                <w:sz w:val="21"/>
              </w:rPr>
              <w:t>2.4.1.支持手动计数、键盘计数、鼠标计数等多种计数方式。支持离线使用，可当做单独计数仪使用，自动计算细胞百分比、粒红比、巨核系统等，可通过USB线连接电脑，可以把计数数据自动导入到骨髓系统中。</w:t>
            </w:r>
          </w:p>
          <w:p>
            <w:pPr>
              <w:pStyle w:val="null3"/>
              <w:jc w:val="both"/>
            </w:pPr>
            <w:r>
              <w:rPr>
                <w:rFonts w:ascii="仿宋_GB2312" w:hAnsi="仿宋_GB2312" w:cs="仿宋_GB2312" w:eastAsia="仿宋_GB2312"/>
                <w:sz w:val="21"/>
              </w:rPr>
              <w:t>2.4.2.支持计时器离线使用，分析结果直接导入报告系统，不需要重复输入，自动计算百分比及粒红比；</w:t>
            </w:r>
          </w:p>
          <w:p>
            <w:pPr>
              <w:pStyle w:val="null3"/>
              <w:jc w:val="both"/>
            </w:pPr>
            <w:r>
              <w:rPr>
                <w:rFonts w:ascii="仿宋_GB2312" w:hAnsi="仿宋_GB2312" w:cs="仿宋_GB2312" w:eastAsia="仿宋_GB2312"/>
                <w:sz w:val="21"/>
              </w:rPr>
              <w:t>2.4.3.细胞数量到上限值时，系统自动提示或锁定上限值，并支持声音提示。</w:t>
            </w:r>
          </w:p>
          <w:p>
            <w:pPr>
              <w:pStyle w:val="null3"/>
              <w:jc w:val="both"/>
            </w:pPr>
            <w:r>
              <w:rPr>
                <w:rFonts w:ascii="仿宋_GB2312" w:hAnsi="仿宋_GB2312" w:cs="仿宋_GB2312" w:eastAsia="仿宋_GB2312"/>
                <w:sz w:val="21"/>
              </w:rPr>
              <w:t>2.5.配套硬件工作站技术参数：</w:t>
            </w:r>
          </w:p>
          <w:p>
            <w:pPr>
              <w:pStyle w:val="null3"/>
              <w:jc w:val="both"/>
            </w:pPr>
            <w:r>
              <w:rPr>
                <w:rFonts w:ascii="仿宋_GB2312" w:hAnsi="仿宋_GB2312" w:cs="仿宋_GB2312" w:eastAsia="仿宋_GB2312"/>
                <w:sz w:val="21"/>
              </w:rPr>
              <w:t>2.5.1.CPU≥酷睿i7、独立显卡</w:t>
            </w:r>
          </w:p>
          <w:p>
            <w:pPr>
              <w:pStyle w:val="null3"/>
              <w:jc w:val="both"/>
            </w:pPr>
            <w:r>
              <w:rPr>
                <w:rFonts w:ascii="仿宋_GB2312" w:hAnsi="仿宋_GB2312" w:cs="仿宋_GB2312" w:eastAsia="仿宋_GB2312"/>
                <w:sz w:val="21"/>
              </w:rPr>
              <w:t>2.5.2.内存≥32G</w:t>
            </w:r>
          </w:p>
          <w:p>
            <w:pPr>
              <w:pStyle w:val="null3"/>
              <w:jc w:val="both"/>
            </w:pPr>
            <w:r>
              <w:rPr>
                <w:rFonts w:ascii="仿宋_GB2312" w:hAnsi="仿宋_GB2312" w:cs="仿宋_GB2312" w:eastAsia="仿宋_GB2312"/>
                <w:sz w:val="21"/>
              </w:rPr>
              <w:t>2.5.3.硬盘≥1TB</w:t>
            </w:r>
          </w:p>
          <w:p>
            <w:pPr>
              <w:pStyle w:val="null3"/>
              <w:jc w:val="both"/>
            </w:pPr>
            <w:r>
              <w:rPr>
                <w:rFonts w:ascii="仿宋_GB2312" w:hAnsi="仿宋_GB2312" w:cs="仿宋_GB2312" w:eastAsia="仿宋_GB2312"/>
                <w:sz w:val="21"/>
              </w:rPr>
              <w:t>2.5.4.操作系统≥Windows11</w:t>
            </w:r>
          </w:p>
          <w:p>
            <w:pPr>
              <w:pStyle w:val="null3"/>
              <w:jc w:val="both"/>
            </w:pPr>
            <w:r>
              <w:rPr>
                <w:rFonts w:ascii="仿宋_GB2312" w:hAnsi="仿宋_GB2312" w:cs="仿宋_GB2312" w:eastAsia="仿宋_GB2312"/>
                <w:sz w:val="21"/>
              </w:rPr>
              <w:t>2.5.5.显示器≥23英寸</w:t>
            </w:r>
          </w:p>
          <w:p>
            <w:pPr>
              <w:pStyle w:val="null3"/>
              <w:jc w:val="both"/>
            </w:pPr>
            <w:r>
              <w:rPr>
                <w:rFonts w:ascii="仿宋_GB2312" w:hAnsi="仿宋_GB2312" w:cs="仿宋_GB2312" w:eastAsia="仿宋_GB2312"/>
                <w:sz w:val="21"/>
              </w:rPr>
              <w:t>2.5.6.彩色喷墨打印机</w:t>
            </w:r>
          </w:p>
          <w:p>
            <w:pPr>
              <w:pStyle w:val="null3"/>
              <w:jc w:val="both"/>
            </w:pPr>
            <w:r>
              <w:rPr>
                <w:rFonts w:ascii="仿宋_GB2312" w:hAnsi="仿宋_GB2312" w:cs="仿宋_GB2312" w:eastAsia="仿宋_GB2312"/>
                <w:sz w:val="21"/>
              </w:rPr>
              <w:t>3.配置清单</w:t>
            </w:r>
          </w:p>
          <w:p>
            <w:pPr>
              <w:pStyle w:val="null3"/>
              <w:jc w:val="both"/>
            </w:pPr>
            <w:r>
              <w:rPr>
                <w:rFonts w:ascii="仿宋_GB2312" w:hAnsi="仿宋_GB2312" w:cs="仿宋_GB2312" w:eastAsia="仿宋_GB2312"/>
                <w:sz w:val="21"/>
              </w:rPr>
              <w:t>3.1.骨髓细胞形态学图像分析系统1套</w:t>
            </w:r>
          </w:p>
          <w:p>
            <w:pPr>
              <w:pStyle w:val="null3"/>
              <w:jc w:val="both"/>
            </w:pPr>
            <w:r>
              <w:rPr>
                <w:rFonts w:ascii="仿宋_GB2312" w:hAnsi="仿宋_GB2312" w:cs="仿宋_GB2312" w:eastAsia="仿宋_GB2312"/>
                <w:sz w:val="21"/>
              </w:rPr>
              <w:t>3.2.三目显微镜1台</w:t>
            </w:r>
          </w:p>
          <w:p>
            <w:pPr>
              <w:pStyle w:val="null3"/>
              <w:jc w:val="both"/>
            </w:pPr>
            <w:r>
              <w:rPr>
                <w:rFonts w:ascii="仿宋_GB2312" w:hAnsi="仿宋_GB2312" w:cs="仿宋_GB2312" w:eastAsia="仿宋_GB2312"/>
                <w:sz w:val="21"/>
              </w:rPr>
              <w:t>3.3.数字摄像头1台</w:t>
            </w:r>
          </w:p>
          <w:p>
            <w:pPr>
              <w:pStyle w:val="null3"/>
              <w:jc w:val="both"/>
            </w:pPr>
            <w:r>
              <w:rPr>
                <w:rFonts w:ascii="仿宋_GB2312" w:hAnsi="仿宋_GB2312" w:cs="仿宋_GB2312" w:eastAsia="仿宋_GB2312"/>
                <w:sz w:val="21"/>
              </w:rPr>
              <w:t>3.4.细胞计数器1台</w:t>
            </w:r>
          </w:p>
          <w:p>
            <w:pPr>
              <w:pStyle w:val="null3"/>
              <w:jc w:val="both"/>
            </w:pPr>
            <w:r>
              <w:rPr>
                <w:rFonts w:ascii="仿宋_GB2312" w:hAnsi="仿宋_GB2312" w:cs="仿宋_GB2312" w:eastAsia="仿宋_GB2312"/>
                <w:sz w:val="21"/>
              </w:rPr>
              <w:t>3.5.电脑工作站1台</w:t>
            </w:r>
          </w:p>
          <w:p>
            <w:pPr>
              <w:pStyle w:val="null3"/>
            </w:pPr>
            <w:r>
              <w:rPr>
                <w:rFonts w:ascii="仿宋_GB2312" w:hAnsi="仿宋_GB2312" w:cs="仿宋_GB2312" w:eastAsia="仿宋_GB2312"/>
                <w:sz w:val="21"/>
              </w:rPr>
              <w:t>3.6.彩色喷墨打印机1台</w:t>
            </w:r>
          </w:p>
          <w:p>
            <w:pPr>
              <w:pStyle w:val="null3"/>
            </w:pPr>
            <w:r>
              <w:rPr>
                <w:rFonts w:ascii="仿宋_GB2312" w:hAnsi="仿宋_GB2312" w:cs="仿宋_GB2312" w:eastAsia="仿宋_GB2312"/>
                <w:sz w:val="21"/>
              </w:rPr>
              <w:t>备注：满足或优于招标文件的“★”技术要求，提供技术支持资料，技术支持资料指制造商公开发布的印刷资料（技术白皮书、图片等技术标准资料）或检测机构出具的检测报告或技术说明书，未提供有效支持依据的可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合同签订之日起，接甲方通知后30日内完成交付、安装及调试。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设备全部到货（因甲方场地等原因无法安装，以到货时间计算）或设备全部验收合格后 </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保修期为验收合格通过之日起不少于2年。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（1）提供2024年度或2025年度经审计的财务报告，应满足以下要求：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特殊资格审查</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特殊资格审查</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特殊资格审查</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技术商务偏离表.docx 节能产品、环境标志产品明细表.docx 资格证明文件.docx 投标分项报价表.docx 投标人概况.docx 投标函 残疾人福利性单位声明函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投标保证金凭证.docx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投标内容满足招标文件中商务要求和技术实质性要求、不存在漏项或数量与要求不符</w:t>
            </w:r>
          </w:p>
        </w:tc>
        <w:tc>
          <w:tcPr>
            <w:tcW w:type="dxa" w:w="1661"/>
          </w:tcPr>
          <w:p>
            <w:pPr>
              <w:pStyle w:val="null3"/>
            </w:pPr>
            <w:r>
              <w:rPr>
                <w:rFonts w:ascii="仿宋_GB2312" w:hAnsi="仿宋_GB2312" w:cs="仿宋_GB2312" w:eastAsia="仿宋_GB2312"/>
              </w:rPr>
              <w:t>投标方案.docx 投标分项报价表.docx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投标方案.docx 开标一览表 中小企业声明函 技术商务偏离表.docx 节能产品、环境标志产品明细表.docx 投标保证金凭证.docx 投标分项报价表.docx 投标人概况.docx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中小企业声明函 技术商务偏离表.docx 节能产品、环境标志产品明细表.docx 投标保证金凭证.docx 投标分项报价表.docx 投标人概况.docx 投标函 残疾人福利性单位声明函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满足或优于招标文件的交货时间</w:t>
            </w:r>
          </w:p>
        </w:tc>
        <w:tc>
          <w:tcPr>
            <w:tcW w:type="dxa" w:w="1661"/>
          </w:tcPr>
          <w:p>
            <w:pPr>
              <w:pStyle w:val="null3"/>
            </w:pPr>
            <w:r>
              <w:rPr>
                <w:rFonts w:ascii="仿宋_GB2312" w:hAnsi="仿宋_GB2312" w:cs="仿宋_GB2312" w:eastAsia="仿宋_GB2312"/>
              </w:rPr>
              <w:t>技术商务偏离表.docx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满足招标文件的支付约定</w:t>
            </w:r>
          </w:p>
        </w:tc>
        <w:tc>
          <w:tcPr>
            <w:tcW w:type="dxa" w:w="1661"/>
          </w:tcPr>
          <w:p>
            <w:pPr>
              <w:pStyle w:val="null3"/>
            </w:pPr>
            <w:r>
              <w:rPr>
                <w:rFonts w:ascii="仿宋_GB2312" w:hAnsi="仿宋_GB2312" w:cs="仿宋_GB2312" w:eastAsia="仿宋_GB2312"/>
              </w:rPr>
              <w:t>技术商务偏离表.docx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满足或优于招标文件的质量保修期要求</w:t>
            </w:r>
          </w:p>
        </w:tc>
        <w:tc>
          <w:tcPr>
            <w:tcW w:type="dxa" w:w="1661"/>
          </w:tcPr>
          <w:p>
            <w:pPr>
              <w:pStyle w:val="null3"/>
            </w:pPr>
            <w:r>
              <w:rPr>
                <w:rFonts w:ascii="仿宋_GB2312" w:hAnsi="仿宋_GB2312" w:cs="仿宋_GB2312" w:eastAsia="仿宋_GB2312"/>
              </w:rPr>
              <w:t>技术商务偏离表.docx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参数响应度</w:t>
            </w:r>
          </w:p>
        </w:tc>
        <w:tc>
          <w:tcPr>
            <w:tcW w:type="dxa" w:w="2492"/>
          </w:tcPr>
          <w:p>
            <w:pPr>
              <w:pStyle w:val="null3"/>
            </w:pPr>
            <w:r>
              <w:rPr>
                <w:rFonts w:ascii="仿宋_GB2312" w:hAnsi="仿宋_GB2312" w:cs="仿宋_GB2312" w:eastAsia="仿宋_GB2312"/>
              </w:rPr>
              <w:t>投标产品的技术指标评审：完全响应或优于计45分。“▲”号技术参数一项不符合扣分分值为：投标总报价（以万元为单位）除以40，非“▲”号技术参数一项不满足扣分分值为：投标总报价（以万元为单位）除以200;扣完为止。 加注“▲”号的主要参数须提供技术支持资料，技术支持资料指制造商公开发布的印刷资料（技术白皮书、图片等技术标准资料）或检测机构出具的检测报告或技术说明书，未提供有效支持依据的可按负偏离处理。（对应参数证明材料标注页码）</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投标产品响应的规范性</w:t>
            </w:r>
          </w:p>
        </w:tc>
        <w:tc>
          <w:tcPr>
            <w:tcW w:type="dxa" w:w="2492"/>
          </w:tcPr>
          <w:p>
            <w:pPr>
              <w:pStyle w:val="null3"/>
            </w:pPr>
            <w:r>
              <w:rPr>
                <w:rFonts w:ascii="仿宋_GB2312" w:hAnsi="仿宋_GB2312" w:cs="仿宋_GB2312" w:eastAsia="仿宋_GB2312"/>
              </w:rPr>
              <w:t>根据投标产品响应的规范性进行评审： 1、投标产品技术响应完整详细、科学规范、可行度高，配套服务方案全面详细，计 5 分； 2、投标产品技术响应基本完整、规范，可行，配套服务方案全面计3分； 3、投标产品技术响应完整性、规范性、可行度一般，配套服务方案一般，计2分； 4、投标产品技术响应内容有缺陷或完全拷贝参数要求未进行细化响应，配套服务方案粗略，计1分； 5、其他情况不计分。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产品的先进性和可靠性</w:t>
            </w:r>
          </w:p>
        </w:tc>
        <w:tc>
          <w:tcPr>
            <w:tcW w:type="dxa" w:w="2492"/>
          </w:tcPr>
          <w:p>
            <w:pPr>
              <w:pStyle w:val="null3"/>
            </w:pPr>
            <w:r>
              <w:rPr>
                <w:rFonts w:ascii="仿宋_GB2312" w:hAnsi="仿宋_GB2312" w:cs="仿宋_GB2312" w:eastAsia="仿宋_GB2312"/>
              </w:rPr>
              <w:t>根据所投产品性能稳定性、质量可靠性、技术先进性等方面进行评审： 1、所投产品技术成熟度高、性能可靠性强、关键部件匹配性强，完全符合用户需求，计4分； 2、所投产品技术成熟度、性能可靠性、关键部件匹配性基本满足用户需求，但存在不足的，计2分； 3、所投产品技术成熟度、性能可靠性、关键部件有较大缺陷，但能基本满足用户使用，计1分； 4、所投产品技术成熟度、性能可靠性、关键部件有较大缺陷，不能满足用户使用，计0分； 5、其他情况不计分。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提供投标产品的合法来源渠道证明文件，不限于销售协议/代理协议/购销合同/购货发票等计1分；内容不完整计0.5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提供投标人2022年1月1日至投标截止时间（以合同签订时间为准）类似多类别货物批量供货合同，提供1份计0.5分，满分2分。无合同计0分，无法取得采购方联系或证实的合同视为无效合同。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所投核心产品提供整机原厂质保期满足2年，有详尽售后服务承诺，售后服务计划、售后服务措施，具有本地化售后服务能力的得4分。 所投非核心产品提供整机原厂质保期满足2年，有详尽售后服务承诺，售后服务计划、售后服务措施，具有本地化售后服务能力的得2分。 以上要求需出具原厂提供的相关证明材料，未提供不计分。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具有可行的技术培训方案，保证使用单位能熟练操作维护和正常使用，列出详细的培训内容、培训方式等说明的计1分；内容不完整计0.5分，未提供不计分。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计算分数时四舍五入取小数点后两位。（小微企业、监狱企业或残疾人福利性单位用投标报价扣除后的价格参加评审。专门面向中小企业采购的项目不进行价格扣除。）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详见附件：投标保证金凭证.docx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