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69" w:leftChars="128"/>
        <w:jc w:val="center"/>
        <w:outlineLvl w:val="0"/>
        <w:rPr>
          <w:rFonts w:hint="eastAsia" w:ascii="宋体" w:hAnsi="宋体" w:eastAsia="宋体" w:cs="宋体"/>
          <w:color w:val="auto"/>
          <w:sz w:val="28"/>
          <w:szCs w:val="28"/>
          <w:highlight w:val="none"/>
        </w:rPr>
      </w:pPr>
      <w:r>
        <w:rPr>
          <w:rStyle w:val="6"/>
          <w:rFonts w:hint="eastAsia" w:ascii="宋体" w:hAnsi="宋体" w:eastAsia="宋体" w:cs="宋体"/>
          <w:color w:val="auto"/>
          <w:sz w:val="28"/>
          <w:szCs w:val="28"/>
          <w:highlight w:val="none"/>
        </w:rPr>
        <w:t>拟签订的合同</w:t>
      </w:r>
      <w:bookmarkStart w:id="0" w:name="_Hlt487972895"/>
      <w:bookmarkEnd w:id="0"/>
      <w:bookmarkStart w:id="1" w:name="_Toc216513788"/>
      <w:bookmarkStart w:id="2" w:name="_Toc487900382"/>
      <w:r>
        <w:rPr>
          <w:rStyle w:val="6"/>
          <w:rFonts w:hint="eastAsia" w:ascii="宋体" w:hAnsi="宋体" w:eastAsia="宋体" w:cs="宋体"/>
          <w:color w:val="auto"/>
          <w:sz w:val="28"/>
          <w:szCs w:val="28"/>
          <w:highlight w:val="none"/>
        </w:rPr>
        <w:t>文本</w:t>
      </w:r>
    </w:p>
    <w:bookmarkEnd w:id="1"/>
    <w:bookmarkEnd w:id="2"/>
    <w:p>
      <w:pPr>
        <w:spacing w:line="360" w:lineRule="auto"/>
        <w:rPr>
          <w:rFonts w:hint="eastAsia" w:ascii="宋体" w:hAnsi="宋体" w:eastAsia="宋体" w:cs="宋体"/>
          <w:b/>
          <w:color w:val="auto"/>
          <w:kern w:val="44"/>
          <w:sz w:val="28"/>
          <w:szCs w:val="28"/>
          <w:highlight w:val="none"/>
        </w:rPr>
      </w:pPr>
    </w:p>
    <w:p>
      <w:pPr>
        <w:tabs>
          <w:tab w:val="left" w:pos="735"/>
        </w:tabs>
        <w:autoSpaceDE w:val="0"/>
        <w:autoSpaceDN w:val="0"/>
        <w:adjustRightInd w:val="0"/>
        <w:snapToGrid w:val="0"/>
        <w:spacing w:before="312" w:beforeLines="100" w:line="360" w:lineRule="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甲方：</w:t>
      </w:r>
      <w:r>
        <w:rPr>
          <w:rFonts w:hint="eastAsia" w:ascii="宋体" w:hAnsi="宋体" w:eastAsia="宋体" w:cs="宋体"/>
          <w:bCs/>
          <w:color w:val="auto"/>
          <w:sz w:val="24"/>
          <w:szCs w:val="24"/>
          <w:highlight w:val="none"/>
          <w:lang w:val="zh-CN"/>
        </w:rPr>
        <w:t>（前款所称采购人）     住所：</w:t>
      </w:r>
    </w:p>
    <w:p>
      <w:pPr>
        <w:tabs>
          <w:tab w:val="left" w:pos="735"/>
        </w:tabs>
        <w:autoSpaceDE w:val="0"/>
        <w:autoSpaceDN w:val="0"/>
        <w:adjustRightInd w:val="0"/>
        <w:snapToGrid w:val="0"/>
        <w:spacing w:line="360" w:lineRule="auto"/>
        <w:rPr>
          <w:rFonts w:hint="eastAsia" w:ascii="宋体" w:hAnsi="宋体" w:eastAsia="宋体" w:cs="宋体"/>
          <w:bCs/>
          <w:color w:val="auto"/>
          <w:sz w:val="24"/>
          <w:szCs w:val="24"/>
          <w:highlight w:val="none"/>
          <w:lang w:val="zh-CN"/>
        </w:rPr>
      </w:pPr>
      <w:r>
        <w:rPr>
          <w:rFonts w:hint="eastAsia" w:ascii="宋体" w:hAnsi="宋体" w:eastAsia="宋体" w:cs="宋体"/>
          <w:b/>
          <w:bCs/>
          <w:color w:val="auto"/>
          <w:sz w:val="24"/>
          <w:szCs w:val="24"/>
          <w:highlight w:val="none"/>
          <w:lang w:val="zh-CN"/>
        </w:rPr>
        <w:t>乙方：</w:t>
      </w:r>
      <w:r>
        <w:rPr>
          <w:rFonts w:hint="eastAsia" w:ascii="宋体" w:hAnsi="宋体" w:eastAsia="宋体" w:cs="宋体"/>
          <w:bCs/>
          <w:color w:val="auto"/>
          <w:sz w:val="24"/>
          <w:szCs w:val="24"/>
          <w:highlight w:val="none"/>
          <w:lang w:val="zh-CN"/>
        </w:rPr>
        <w:t>（前款所称中标人）     住所：</w:t>
      </w:r>
    </w:p>
    <w:p>
      <w:pPr>
        <w:pStyle w:val="2"/>
        <w:spacing w:line="360" w:lineRule="auto"/>
        <w:rPr>
          <w:rFonts w:hint="eastAsia" w:ascii="宋体" w:hAnsi="宋体" w:eastAsia="宋体" w:cs="宋体"/>
          <w:color w:val="auto"/>
          <w:sz w:val="24"/>
          <w:szCs w:val="24"/>
          <w:highlight w:val="none"/>
        </w:rPr>
      </w:pP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3" w:name="_Toc19515384"/>
      <w:r>
        <w:rPr>
          <w:rFonts w:hint="eastAsia" w:ascii="宋体" w:hAnsi="宋体" w:eastAsia="宋体" w:cs="宋体"/>
          <w:color w:val="auto"/>
          <w:sz w:val="24"/>
          <w:szCs w:val="24"/>
          <w:highlight w:val="none"/>
        </w:rPr>
        <w:t>一、合同内容（标的、数量、质量等）:</w:t>
      </w:r>
      <w:bookmarkEnd w:id="3"/>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4" w:name="_Toc19515385"/>
      <w:r>
        <w:rPr>
          <w:rFonts w:hint="eastAsia" w:ascii="宋体" w:hAnsi="宋体" w:eastAsia="宋体" w:cs="宋体"/>
          <w:color w:val="auto"/>
          <w:sz w:val="24"/>
          <w:szCs w:val="24"/>
          <w:highlight w:val="none"/>
        </w:rPr>
        <w:t>二、合同价款</w:t>
      </w:r>
      <w:bookmarkEnd w:id="4"/>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1、合同总价：</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2、合同总价包括：</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3、合同为固定单价合同。</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5" w:name="_Toc19515386"/>
      <w:r>
        <w:rPr>
          <w:rFonts w:hint="eastAsia" w:ascii="宋体" w:hAnsi="宋体" w:eastAsia="宋体" w:cs="宋体"/>
          <w:color w:val="auto"/>
          <w:sz w:val="24"/>
          <w:szCs w:val="24"/>
          <w:highlight w:val="none"/>
        </w:rPr>
        <w:t>三、合同结算</w:t>
      </w:r>
      <w:bookmarkEnd w:id="5"/>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1、付款比例：按月结算，每月邮寄任务完成，经采购人验收合格后，结算上月费用。</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2、结算方式：银行转账。</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3、结算单位：由</w:t>
      </w:r>
      <w:r>
        <w:rPr>
          <w:rFonts w:hint="eastAsia" w:ascii="宋体" w:hAnsi="宋体" w:eastAsia="宋体" w:cs="宋体"/>
          <w:color w:val="auto"/>
          <w:sz w:val="24"/>
          <w:szCs w:val="24"/>
          <w:highlight w:val="none"/>
          <w:u w:val="single"/>
        </w:rPr>
        <w:t>甲方</w:t>
      </w:r>
      <w:r>
        <w:rPr>
          <w:rFonts w:hint="eastAsia" w:ascii="宋体" w:hAnsi="宋体" w:eastAsia="宋体" w:cs="宋体"/>
          <w:color w:val="auto"/>
          <w:sz w:val="24"/>
          <w:szCs w:val="24"/>
          <w:highlight w:val="none"/>
        </w:rPr>
        <w:t>负责结算，乙方开具等额发票交采购人。（乙方依据当期实际配送发生种类、数量、金额等向甲方提供配送明细清单（纸质版加盖单位公章），经甲方核实确认后， 乙方应向甲方提供本公司开具的国家税务机关统一印制的增值税专用发票。甲方收到配送明细清单及发票后七个工作日内（节假日顺延）以银行汇款方式支付乙方费用。）</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6" w:name="_Toc19515387"/>
      <w:r>
        <w:rPr>
          <w:rFonts w:hint="eastAsia" w:ascii="宋体" w:hAnsi="宋体" w:eastAsia="宋体" w:cs="宋体"/>
          <w:color w:val="auto"/>
          <w:sz w:val="24"/>
          <w:szCs w:val="24"/>
          <w:highlight w:val="none"/>
        </w:rPr>
        <w:t>四、</w:t>
      </w:r>
      <w:r>
        <w:rPr>
          <w:rFonts w:hint="eastAsia" w:ascii="宋体" w:hAnsi="宋体" w:cs="宋体"/>
          <w:color w:val="auto"/>
          <w:sz w:val="24"/>
          <w:szCs w:val="24"/>
          <w:highlight w:val="none"/>
          <w:lang w:val="en-US" w:eastAsia="zh-CN"/>
        </w:rPr>
        <w:t>服务期</w:t>
      </w:r>
      <w:r>
        <w:rPr>
          <w:rFonts w:hint="eastAsia" w:ascii="宋体" w:hAnsi="宋体" w:eastAsia="宋体" w:cs="宋体"/>
          <w:color w:val="auto"/>
          <w:sz w:val="24"/>
          <w:szCs w:val="24"/>
          <w:highlight w:val="none"/>
        </w:rPr>
        <w:t>、地点及方式:</w:t>
      </w:r>
      <w:bookmarkEnd w:id="6"/>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服务期</w:t>
      </w:r>
      <w:r>
        <w:rPr>
          <w:rFonts w:hint="eastAsia" w:ascii="宋体" w:hAnsi="宋体" w:eastAsia="宋体" w:cs="宋体"/>
          <w:color w:val="auto"/>
          <w:sz w:val="24"/>
          <w:szCs w:val="24"/>
          <w:highlight w:val="none"/>
        </w:rPr>
        <w:t>： 1年</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2、地点：当代陕西杂志社指定地点</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3、方式：</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7" w:name="_Toc19515390"/>
      <w:r>
        <w:rPr>
          <w:rFonts w:hint="eastAsia" w:ascii="宋体" w:hAnsi="宋体" w:eastAsia="宋体" w:cs="宋体"/>
          <w:color w:val="auto"/>
          <w:sz w:val="24"/>
          <w:szCs w:val="24"/>
          <w:highlight w:val="none"/>
        </w:rPr>
        <w:t>五、服务</w:t>
      </w:r>
      <w:bookmarkEnd w:id="7"/>
      <w:r>
        <w:rPr>
          <w:rFonts w:hint="eastAsia" w:ascii="宋体" w:hAnsi="宋体" w:eastAsia="宋体" w:cs="宋体"/>
          <w:color w:val="auto"/>
          <w:sz w:val="24"/>
          <w:szCs w:val="24"/>
          <w:highlight w:val="none"/>
        </w:rPr>
        <w:t>要求</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1、时限要求。</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自当期刊物全部送到乙方库房之日起，乙方应在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日内配送准确、安全地刊物全部配送发出。</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2、刊物补寄。</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对因发刊信息有误、订户迁址、发刊标签破损等原因造成的退刊， 乙方尽可能查明原因， 并负责补寄。对无法查明原因的退刊，应及时通知甲方，并由甲方通知乙方停发或者重新补寄。</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3、售后服务</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3-1、乙方在接到甲方电话通知后在5小时内派出合格的服务人员到达现场进行服务，承担相应费用。</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3-2、如果乙方在收到通知后两天内没有弥补缺陷，甲方可采取必要的补救措施，但其风险和费用将由乙方承担，甲方根据合同规定对乙方行使的其它权力不受影响。</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8" w:name="_Toc19515392"/>
      <w:r>
        <w:rPr>
          <w:rFonts w:hint="eastAsia" w:ascii="宋体" w:hAnsi="宋体" w:eastAsia="宋体" w:cs="宋体"/>
          <w:color w:val="auto"/>
          <w:sz w:val="24"/>
          <w:szCs w:val="24"/>
          <w:highlight w:val="none"/>
        </w:rPr>
        <w:t>六、甲方权利义务和责任</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1、甲方对发刊全过程均享有知情权和监督权， 可以随时检查乙方的发刊工作，若发现乙方工作中的问题可以提出批评和建议， 并可要求乙方到社说明或作出书面报告，制订改进办法和措施。</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2、甲方保证委托乙方寄发的刊物均为国家正规出版物。</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3、甲方应在当期杂志全部送到乙方库房的前五日以电子文本形式提供乙方配送内容， 包括邮编、收件人地址、收件单位、收件人姓名、联系电话等。若乙方发现发刊数据信息有问题并告知甲方后， 甲方及时予以核实、纠正并告知乙方，尽量保证发刊数据正确无误。</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甲方指定印刷厂将刊物送达乙方库房， 并由乙方清点数量后确认签收。乙方在接收刊物时，若发现印装质量问题应即时告知甲方予以妥善解决。</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甲方应按照约定时间向乙方支付邮资费用。</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6、甲方定期、不定期对客户进行回访，如反映服务质量差，态度恶劣，杂志社有权解除合同。</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因乙方工作失误给甲方或客户造成损失的，甲方有权要求乙方进行对应经济赔偿。若乙方出现重大质量事故的，甲方有权终止与乙方的合同。</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七、乙方权利义务和责任</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负责杂志的配送和仓储。包括建立配送地址库、补寄地 址库、退件刊物库、打印地址签、核对期刊入库数量、期刊配送、期刊后期跟踪和期刊仓储服务等。</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专门为甲方发刊组建强有力的专职服务团队。选拔政治可靠、责任心强的员工负责本项业务。所有发刊环节均由专人专管，做到责任到人、措施有力、保障到位。</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建立和管理数据库。安排一名经验丰富、技术专业的优秀员工 负责该项工作， 做好与甲方相关人员工作对接。凡通过电子文本形式提交的发行数据， 均需认真检验、仔细核对、逐一验证， 尽力减少差错率， 确保发行数据的完整和准确。发行数据库完全按照甲方要求建立， 库存数量动态实时更新， 达到精确、严谨、完善，确保不出任何差错。</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4、预先做好发刊准备工作。做到地址打印准确、字迹清楚格式规范，美观大方。</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5、期刊的接收和仓储管理。期刊仓储由专人专管， 印刷厂送交刊物时， 认真检查印装质量，若发现错装、缺页、印刷、污迹、残损等情况，立即通报甲方，为甲方期刊印刷质量当好“守门员”。刊物数量要认真清点， 并签署一式两份交接明细清单， 期刊搬运做到轻搬轻放， 文明装卸， 码放整齐规范， 做好防水、防火、防盗等工作，确保妥善保管。乙方与印刷厂之间应建立期刊交接出入库单、邮发期刊仓储单， 做到入库、出库、结余准确无误， 账实相符。</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6、建立定期抽查回访制度， 按每期发刊单位数的5‰进行抽查，全面掌握邮件中转的时间和可能发生的问题，以达未雨绸缪、防患未然之目的。在对客户有详实的了解的基础上，有针对性的对不同订户进行不同方法的维系与跟踪回访，了解订户的需求，便于为订户提供更多、更优质的增值服务，以提高订户的满意度。</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7、指派专人负责退件的登记统计。乙方尽力协助甲方查实退件原因， 并定期以表格的形式反馈给甲方，并按甲方要求进行刊物的补寄。因乙方原因造成甲方期刊错装、错发、延误、丢失等情况的，由乙方以免费经济快递方式予以补刊。</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8、刊物发行完毕后， 乙方需将入库数量、发刊数量、结存数量报给甲方。双方结算配送费用时，向甲方提供详细的发行明细清单。</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9、乙方需于次月将上月期刊配送、送达、抽查、退件等，向甲方提供书面情况报告。</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10、未经甲方书面同意，乙方不得将本合同项下的全部或部分权利义务转给任何第三方。</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11、乙方对甲方提供的订户信息应予保密，不得私自泄露。</w:t>
      </w:r>
    </w:p>
    <w:p>
      <w:pPr>
        <w:pStyle w:val="2"/>
        <w:rPr>
          <w:rFonts w:hint="default" w:eastAsia="宋体"/>
          <w:color w:val="auto"/>
          <w:highlight w:val="none"/>
          <w:lang w:val="en-US" w:eastAsia="zh-CN"/>
        </w:rPr>
      </w:pP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12、乙方在投递过程中车辆和人员的安全均由乙方负责，甲方不承担任何责任。</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八、违约责任</w:t>
      </w:r>
      <w:bookmarkEnd w:id="8"/>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1、按《中华人民共和国民法典》中的相关条款执行。</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2-1、如乙方事先未征得甲方同意并得到甲方的谅解而单方面延迟执行合同，将按违约终止合同。</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2-2、投递过程中不能将破损、污染的期刊交于读者手中。如采购人接到投诉，按杂志价格的双倍赔款。</w:t>
      </w:r>
    </w:p>
    <w:p>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2-3乙方应准时、准确投递。如丢失一份杂志，按杂志价格的双倍赔款。</w:t>
      </w:r>
    </w:p>
    <w:p>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2-4如发现半数以上的杂志不能按期投送，拖延一天罚款5000元/期。</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3、违约终止合同：未按合同要求提供服务或不能满足技术要求，甲方会同监督机构有权终止合同，对乙方违约行为进行追究，同时按政府采购法的有关规定进行相应的处罚。</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9" w:name="_Toc19515393"/>
      <w:r>
        <w:rPr>
          <w:rFonts w:hint="eastAsia" w:ascii="宋体" w:hAnsi="宋体" w:eastAsia="宋体" w:cs="宋体"/>
          <w:color w:val="auto"/>
          <w:sz w:val="24"/>
          <w:szCs w:val="24"/>
          <w:highlight w:val="none"/>
        </w:rPr>
        <w:t>八、合同组成</w:t>
      </w:r>
      <w:bookmarkEnd w:id="9"/>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2、合同文件</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3、国家相关规范及标准</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10" w:name="_Toc19515394"/>
      <w:r>
        <w:rPr>
          <w:rFonts w:hint="eastAsia" w:ascii="宋体" w:hAnsi="宋体" w:eastAsia="宋体" w:cs="宋体"/>
          <w:color w:val="auto"/>
          <w:sz w:val="24"/>
          <w:szCs w:val="24"/>
          <w:highlight w:val="none"/>
        </w:rPr>
        <w:t>十一、解决争议的方法</w:t>
      </w:r>
      <w:bookmarkEnd w:id="10"/>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凡因本合同引起的或与本合同有关的争议，双方应友好协商解决。协商不成时，双方均同意采用以下第（  ）种争议解决方式：</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（1）、甲、乙双方均同意向（甲方所在地人民法院）提起诉讼。</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（2）、甲、乙双方均同意向（</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"http://www.baidu.com/s?wd=%E4%BB%B2%E8%A3%81%E5%A7%94%E5%91%98%E4%BC%9A&amp;tn=SE_PcZhidaonwhc_ngpagmjz&amp;rsv_dl=gh_pc_zhidao" \t "_blank"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仲裁委员会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）提起仲裁。</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11" w:name="_Toc19515395"/>
      <w:r>
        <w:rPr>
          <w:rFonts w:hint="eastAsia" w:ascii="宋体" w:hAnsi="宋体" w:eastAsia="宋体" w:cs="宋体"/>
          <w:color w:val="auto"/>
          <w:sz w:val="24"/>
          <w:szCs w:val="24"/>
          <w:highlight w:val="none"/>
        </w:rPr>
        <w:t>十二、合同生效及其它</w:t>
      </w:r>
      <w:bookmarkEnd w:id="11"/>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1、合同未尽事宜、由甲、乙双方协商，作为合同补充，与原合同具有同等法律效力。</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本合同正本一式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份，甲方、乙方双方分别执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份，备案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bookmarkStart w:id="12" w:name="_GoBack"/>
      <w:bookmarkEnd w:id="12"/>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pPr>
        <w:widowControl/>
        <w:tabs>
          <w:tab w:val="left" w:pos="8391"/>
        </w:tabs>
        <w:autoSpaceDE w:val="0"/>
        <w:autoSpaceDN w:val="0"/>
        <w:snapToGrid w:val="0"/>
        <w:spacing w:line="360" w:lineRule="auto"/>
        <w:ind w:right="-69" w:firstLine="840" w:firstLineChars="350"/>
        <w:textAlignment w:val="bottom"/>
        <w:rPr>
          <w:rFonts w:hint="eastAsia" w:ascii="宋体" w:hAnsi="宋体" w:eastAsia="宋体" w:cs="宋体"/>
          <w:color w:val="auto"/>
          <w:kern w:val="0"/>
          <w:sz w:val="24"/>
          <w:szCs w:val="24"/>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tblPrEx>
          <w:tblCellMar>
            <w:top w:w="0" w:type="dxa"/>
            <w:left w:w="108" w:type="dxa"/>
            <w:bottom w:w="0" w:type="dxa"/>
            <w:right w:w="108" w:type="dxa"/>
          </w:tblCellMar>
        </w:tblPrEx>
        <w:trPr>
          <w:jc w:val="center"/>
        </w:trPr>
        <w:tc>
          <w:tcPr>
            <w:tcW w:w="4643" w:type="dxa"/>
          </w:tcPr>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c>
          <w:tcPr>
            <w:tcW w:w="4643" w:type="dxa"/>
          </w:tcPr>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乙方名称</w:t>
            </w:r>
            <w:r>
              <w:rPr>
                <w:rFonts w:hint="eastAsia" w:ascii="宋体" w:hAnsi="宋体" w:eastAsia="宋体" w:cs="宋体"/>
                <w:color w:val="auto"/>
                <w:spacing w:val="-20"/>
                <w:kern w:val="0"/>
                <w:sz w:val="24"/>
                <w:szCs w:val="24"/>
                <w:highlight w:val="none"/>
              </w:rPr>
              <w:t>（盖章）</w:t>
            </w:r>
            <w:r>
              <w:rPr>
                <w:rFonts w:hint="eastAsia" w:ascii="宋体" w:hAnsi="宋体" w:eastAsia="宋体" w:cs="宋体"/>
                <w:color w:val="auto"/>
                <w:kern w:val="0"/>
                <w:sz w:val="24"/>
                <w:szCs w:val="24"/>
                <w:highlight w:val="none"/>
              </w:rPr>
              <w:t>:</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pPr>
              <w:widowControl/>
              <w:autoSpaceDE w:val="0"/>
              <w:autoSpaceDN w:val="0"/>
              <w:snapToGrid w:val="0"/>
              <w:spacing w:line="360" w:lineRule="auto"/>
              <w:ind w:right="-154"/>
              <w:textAlignment w:val="bottom"/>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账号：</w:t>
            </w:r>
          </w:p>
        </w:tc>
      </w:tr>
    </w:tbl>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f78f6a89-a113-4d33-ae7b-05e0b69d075f"/>
  </w:docVars>
  <w:rsids>
    <w:rsidRoot w:val="17DE044C"/>
    <w:rsid w:val="17DE0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paragraph" w:styleId="3">
    <w:name w:val="heading 1"/>
    <w:basedOn w:val="1"/>
    <w:next w:val="1"/>
    <w:link w:val="6"/>
    <w:qFormat/>
    <w:uiPriority w:val="0"/>
    <w:pPr>
      <w:spacing w:beforeAutospacing="1" w:afterAutospacing="1"/>
      <w:jc w:val="left"/>
      <w:outlineLvl w:val="0"/>
    </w:pPr>
    <w:rPr>
      <w:rFonts w:hint="eastAsia" w:ascii="宋体" w:hAnsi="宋体" w:cs="Times New Roman"/>
      <w:b/>
      <w:bCs/>
      <w:kern w:val="44"/>
      <w:sz w:val="48"/>
      <w:szCs w:val="4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character" w:customStyle="1" w:styleId="6">
    <w:name w:val="标题 1 Char"/>
    <w:basedOn w:val="5"/>
    <w:link w:val="3"/>
    <w:qFormat/>
    <w:uiPriority w:val="0"/>
    <w:rPr>
      <w:rFonts w:hint="eastAsia" w:ascii="宋体" w:hAnsi="宋体" w:cs="Times New Roman"/>
      <w:b/>
      <w:bCs/>
      <w:kern w:val="44"/>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2025-03-03T01:50:00Z</dcterms:created>
  <dc:creator>ANNY</dc:creator>
  <cp:lastModifiedBy>ANNY</cp:lastModifiedBy>
  <dcterms:modified xsi:type="dcterms:W3CDTF">2025-03-03T01:50:44Z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F6E8D77AFEE54E7C8126D5B4F342F905_11</vt:lpwstr>
  </property>
</Properties>
</file>