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版本号：GR25-ZB-071.1B120260302001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高压氢气科里奥利质量流量计驱动控制软件采购项目(二次)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GR25-ZB-071.1B1</w:t>
      </w:r>
      <w:r>
        <w:br/>
      </w:r>
      <w:r>
        <w:br/>
      </w:r>
      <w:r>
        <w:br/>
      </w:r>
    </w:p>
    <w:p>
      <w:pPr>
        <w:pStyle w:val="null3"/>
        <w:jc w:val="center"/>
        <w:outlineLvl w:val="2"/>
      </w:pPr>
      <w:r>
        <w:rPr>
          <w:rFonts w:ascii="仿宋_GB2312" w:hAnsi="仿宋_GB2312" w:cs="仿宋_GB2312" w:eastAsia="仿宋_GB2312"/>
          <w:sz w:val="28"/>
          <w:b/>
        </w:rPr>
        <w:t>陕西省计量科学研究院</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陕西省计量科学研究院</w:t>
      </w:r>
      <w:r>
        <w:rPr>
          <w:rFonts w:ascii="仿宋_GB2312" w:hAnsi="仿宋_GB2312" w:cs="仿宋_GB2312" w:eastAsia="仿宋_GB2312"/>
        </w:rPr>
        <w:t>委托，拟对</w:t>
      </w:r>
      <w:r>
        <w:rPr>
          <w:rFonts w:ascii="仿宋_GB2312" w:hAnsi="仿宋_GB2312" w:cs="仿宋_GB2312" w:eastAsia="仿宋_GB2312"/>
        </w:rPr>
        <w:t>高压氢气科里奥利质量流量计驱动控制软件采购项目(二次)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GR25-ZB-071.1B1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高压氢气科里奥利质量流量计驱动控制软件采购项目(二次)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陕西省市场监督管理系统科技研发项目“高压氢气科里奥利质量流量计关键技术研究”,按照项目任务书中的研究内容需开发高压氢气科里奥利质量流量计驱动控制软件。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采购包1（高压氢气科里奥利质量流量计驱动控制软件采购项目）：属于专门面向中小企业采购。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陕西省计量科学研究院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西安市航天基地神舟六路南段580号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陕西省计量科学研究院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029-85838133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开户银行：兴业银行股份有限公司西安未央路支行</w:t>
            </w:r>
          </w:p>
          <w:p>
            <w:pPr>
              <w:pStyle w:val="null3"/>
            </w:pPr>
            <w:r>
              <w:rPr>
                <w:rFonts w:ascii="仿宋_GB2312" w:hAnsi="仿宋_GB2312" w:cs="仿宋_GB2312" w:eastAsia="仿宋_GB2312"/>
              </w:rPr>
              <w:t>银行账号：456910100100163145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代理服务费收费标准：人民币柒仟元。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陕西省计量科学研究院</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陕西省计量科学研究院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陕西省计量科学研究院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陕西省市场监督管理系统科技研发项目“高压氢气科里奥利质量流量计关键技术研究”,按照项目任务书中的研究内容需开发高压氢气科里奥利质量流量计驱动控制软件。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 xml:space="preserve"> 高压氢气科里奥利质量流量计驱动控制软件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 高压氢气科里奥利质量流量计驱动控制软件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05"/>
              <w:ind w:left="135"/>
              <w:jc w:val="left"/>
            </w:pPr>
            <w:r>
              <w:rPr>
                <w:rFonts w:ascii="仿宋_GB2312" w:hAnsi="仿宋_GB2312" w:cs="仿宋_GB2312" w:eastAsia="仿宋_GB2312"/>
                <w:sz w:val="24"/>
                <w:b/>
              </w:rPr>
              <w:t>一、采购详情</w:t>
            </w:r>
          </w:p>
          <w:p>
            <w:pPr>
              <w:pStyle w:val="null3"/>
              <w:spacing w:before="105" w:after="105"/>
              <w:ind w:left="720"/>
              <w:jc w:val="both"/>
            </w:pPr>
            <w:r>
              <w:rPr>
                <w:rFonts w:ascii="仿宋_GB2312" w:hAnsi="仿宋_GB2312" w:cs="仿宋_GB2312" w:eastAsia="仿宋_GB2312"/>
                <w:sz w:val="24"/>
              </w:rPr>
              <w:t>1.</w:t>
            </w:r>
            <w:r>
              <w:rPr>
                <w:rFonts w:ascii="仿宋_GB2312" w:hAnsi="仿宋_GB2312" w:cs="仿宋_GB2312" w:eastAsia="仿宋_GB2312"/>
                <w:sz w:val="24"/>
                <w:color w:val="000000"/>
              </w:rPr>
              <w:t>名称：</w:t>
            </w:r>
            <w:r>
              <w:rPr>
                <w:rFonts w:ascii="仿宋_GB2312" w:hAnsi="仿宋_GB2312" w:cs="仿宋_GB2312" w:eastAsia="仿宋_GB2312"/>
                <w:sz w:val="24"/>
              </w:rPr>
              <w:t>高压氢气科里奥利质量流量计驱动控制软件。</w:t>
            </w:r>
          </w:p>
          <w:p>
            <w:pPr>
              <w:pStyle w:val="null3"/>
              <w:spacing w:before="105" w:after="105"/>
              <w:ind w:left="720"/>
              <w:jc w:val="both"/>
            </w:pPr>
            <w:r>
              <w:rPr>
                <w:rFonts w:ascii="仿宋_GB2312" w:hAnsi="仿宋_GB2312" w:cs="仿宋_GB2312" w:eastAsia="仿宋_GB2312"/>
                <w:sz w:val="24"/>
              </w:rPr>
              <w:t>2.</w:t>
            </w:r>
            <w:r>
              <w:rPr>
                <w:rFonts w:ascii="仿宋_GB2312" w:hAnsi="仿宋_GB2312" w:cs="仿宋_GB2312" w:eastAsia="仿宋_GB2312"/>
                <w:sz w:val="24"/>
                <w:color w:val="000000"/>
              </w:rPr>
              <w:t>内容：按照</w:t>
            </w:r>
            <w:r>
              <w:rPr>
                <w:rFonts w:ascii="仿宋_GB2312" w:hAnsi="仿宋_GB2312" w:cs="仿宋_GB2312" w:eastAsia="仿宋_GB2312"/>
                <w:sz w:val="24"/>
              </w:rPr>
              <w:t>提供的高压氢气科里奥利质量流量计测试样机和技术要求优化开发</w:t>
            </w:r>
            <w:r>
              <w:rPr>
                <w:rFonts w:ascii="仿宋_GB2312" w:hAnsi="仿宋_GB2312" w:cs="仿宋_GB2312" w:eastAsia="仿宋_GB2312"/>
                <w:sz w:val="24"/>
                <w:color w:val="000000"/>
              </w:rPr>
              <w:t>满足</w:t>
            </w:r>
            <w:r>
              <w:rPr>
                <w:rFonts w:ascii="仿宋_GB2312" w:hAnsi="仿宋_GB2312" w:cs="仿宋_GB2312" w:eastAsia="仿宋_GB2312"/>
                <w:sz w:val="24"/>
              </w:rPr>
              <w:t>高压氢气科里奥利质量流量计流量驱动控制软件</w:t>
            </w:r>
            <w:r>
              <w:rPr>
                <w:rFonts w:ascii="仿宋_GB2312" w:hAnsi="仿宋_GB2312" w:cs="仿宋_GB2312" w:eastAsia="仿宋_GB2312"/>
                <w:sz w:val="24"/>
                <w:color w:val="000000"/>
              </w:rPr>
              <w:t>，包括但不限于软件的设计、编程、测试、调试等工作，使软件达到可交付使用状态。</w:t>
            </w:r>
          </w:p>
          <w:p>
            <w:pPr>
              <w:pStyle w:val="null3"/>
              <w:spacing w:before="105" w:after="105"/>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rPr>
              <w:t>二、</w:t>
            </w:r>
            <w:r>
              <w:rPr>
                <w:rFonts w:ascii="仿宋_GB2312" w:hAnsi="仿宋_GB2312" w:cs="仿宋_GB2312" w:eastAsia="仿宋_GB2312"/>
                <w:sz w:val="24"/>
                <w:b/>
              </w:rPr>
              <w:t>质量要求</w:t>
            </w:r>
          </w:p>
          <w:p>
            <w:pPr>
              <w:pStyle w:val="null3"/>
              <w:spacing w:before="105" w:after="105"/>
              <w:ind w:left="480"/>
              <w:jc w:val="left"/>
            </w:pPr>
            <w:r>
              <w:rPr>
                <w:rFonts w:ascii="仿宋_GB2312" w:hAnsi="仿宋_GB2312" w:cs="仿宋_GB2312" w:eastAsia="仿宋_GB2312"/>
                <w:sz w:val="24"/>
                <w:color w:val="000000"/>
              </w:rPr>
              <w:t>技术要求</w:t>
            </w:r>
            <w:r>
              <w:rPr>
                <w:rFonts w:ascii="仿宋_GB2312" w:hAnsi="仿宋_GB2312" w:cs="仿宋_GB2312" w:eastAsia="仿宋_GB2312"/>
                <w:sz w:val="24"/>
              </w:rPr>
              <w:t>：</w:t>
            </w:r>
          </w:p>
          <w:p>
            <w:pPr>
              <w:pStyle w:val="null3"/>
              <w:spacing w:before="105" w:after="105"/>
              <w:ind w:left="1020"/>
              <w:jc w:val="both"/>
            </w:pPr>
            <w:r>
              <w:rPr>
                <w:rFonts w:ascii="仿宋_GB2312" w:hAnsi="仿宋_GB2312" w:cs="仿宋_GB2312" w:eastAsia="仿宋_GB2312"/>
                <w:sz w:val="24"/>
              </w:rPr>
              <w:t>1.</w:t>
            </w:r>
            <w:r>
              <w:rPr>
                <w:rFonts w:ascii="仿宋_GB2312" w:hAnsi="仿宋_GB2312" w:cs="仿宋_GB2312" w:eastAsia="仿宋_GB2312"/>
                <w:sz w:val="24"/>
              </w:rPr>
              <w:t>驱动相位范围：匹配项目用敏感单元对应流量（</w:t>
            </w:r>
            <w:r>
              <w:rPr>
                <w:rFonts w:ascii="仿宋_GB2312" w:hAnsi="仿宋_GB2312" w:cs="仿宋_GB2312" w:eastAsia="仿宋_GB2312"/>
                <w:sz w:val="24"/>
              </w:rPr>
              <w:t>18~180</w:t>
            </w:r>
            <w:r>
              <w:rPr>
                <w:rFonts w:ascii="仿宋_GB2312" w:hAnsi="仿宋_GB2312" w:cs="仿宋_GB2312" w:eastAsia="仿宋_GB2312"/>
                <w:sz w:val="24"/>
              </w:rPr>
              <w:t>）</w:t>
            </w:r>
            <w:r>
              <w:rPr>
                <w:rFonts w:ascii="仿宋_GB2312" w:hAnsi="仿宋_GB2312" w:cs="仿宋_GB2312" w:eastAsia="仿宋_GB2312"/>
                <w:sz w:val="24"/>
              </w:rPr>
              <w:t>kg/h</w:t>
            </w:r>
            <w:r>
              <w:rPr>
                <w:rFonts w:ascii="仿宋_GB2312" w:hAnsi="仿宋_GB2312" w:cs="仿宋_GB2312" w:eastAsia="仿宋_GB2312"/>
                <w:sz w:val="24"/>
              </w:rPr>
              <w:t>；</w:t>
            </w:r>
          </w:p>
          <w:p>
            <w:pPr>
              <w:pStyle w:val="null3"/>
              <w:spacing w:before="105" w:after="105"/>
              <w:ind w:left="1020"/>
              <w:jc w:val="both"/>
            </w:pPr>
            <w:r>
              <w:rPr>
                <w:rFonts w:ascii="仿宋_GB2312" w:hAnsi="仿宋_GB2312" w:cs="仿宋_GB2312" w:eastAsia="仿宋_GB2312"/>
                <w:sz w:val="24"/>
              </w:rPr>
              <w:t>2.</w:t>
            </w:r>
            <w:r>
              <w:rPr>
                <w:rFonts w:ascii="仿宋_GB2312" w:hAnsi="仿宋_GB2312" w:cs="仿宋_GB2312" w:eastAsia="仿宋_GB2312"/>
                <w:sz w:val="24"/>
              </w:rPr>
              <w:t>扫频范围：（</w:t>
            </w:r>
            <w:r>
              <w:rPr>
                <w:rFonts w:ascii="仿宋_GB2312" w:hAnsi="仿宋_GB2312" w:cs="仿宋_GB2312" w:eastAsia="仿宋_GB2312"/>
                <w:sz w:val="24"/>
              </w:rPr>
              <w:t>80~200</w:t>
            </w:r>
            <w:r>
              <w:rPr>
                <w:rFonts w:ascii="仿宋_GB2312" w:hAnsi="仿宋_GB2312" w:cs="仿宋_GB2312" w:eastAsia="仿宋_GB2312"/>
                <w:sz w:val="24"/>
              </w:rPr>
              <w:t>）</w:t>
            </w:r>
            <w:r>
              <w:rPr>
                <w:rFonts w:ascii="仿宋_GB2312" w:hAnsi="仿宋_GB2312" w:cs="仿宋_GB2312" w:eastAsia="仿宋_GB2312"/>
                <w:sz w:val="24"/>
              </w:rPr>
              <w:t>Hz</w:t>
            </w:r>
            <w:r>
              <w:rPr>
                <w:rFonts w:ascii="仿宋_GB2312" w:hAnsi="仿宋_GB2312" w:cs="仿宋_GB2312" w:eastAsia="仿宋_GB2312"/>
                <w:sz w:val="24"/>
              </w:rPr>
              <w:t>；</w:t>
            </w:r>
          </w:p>
          <w:p>
            <w:pPr>
              <w:pStyle w:val="null3"/>
              <w:spacing w:before="105" w:after="105"/>
              <w:ind w:left="1020"/>
              <w:jc w:val="both"/>
            </w:pPr>
            <w:r>
              <w:rPr>
                <w:rFonts w:ascii="仿宋_GB2312" w:hAnsi="仿宋_GB2312" w:cs="仿宋_GB2312" w:eastAsia="仿宋_GB2312"/>
                <w:sz w:val="24"/>
              </w:rPr>
              <w:t>3.</w:t>
            </w:r>
            <w:r>
              <w:rPr>
                <w:rFonts w:ascii="仿宋_GB2312" w:hAnsi="仿宋_GB2312" w:cs="仿宋_GB2312" w:eastAsia="仿宋_GB2312"/>
                <w:sz w:val="24"/>
              </w:rPr>
              <w:t>驱动起振时间小于</w:t>
            </w:r>
            <w:r>
              <w:rPr>
                <w:rFonts w:ascii="仿宋_GB2312" w:hAnsi="仿宋_GB2312" w:cs="仿宋_GB2312" w:eastAsia="仿宋_GB2312"/>
                <w:sz w:val="24"/>
              </w:rPr>
              <w:t>3</w:t>
            </w:r>
            <w:r>
              <w:rPr>
                <w:rFonts w:ascii="仿宋_GB2312" w:hAnsi="仿宋_GB2312" w:cs="仿宋_GB2312" w:eastAsia="仿宋_GB2312"/>
                <w:sz w:val="24"/>
              </w:rPr>
              <w:t>s</w:t>
            </w:r>
            <w:r>
              <w:rPr>
                <w:rFonts w:ascii="仿宋_GB2312" w:hAnsi="仿宋_GB2312" w:cs="仿宋_GB2312" w:eastAsia="仿宋_GB2312"/>
                <w:sz w:val="24"/>
              </w:rPr>
              <w:t>，二次启动时间小于</w:t>
            </w:r>
            <w:r>
              <w:rPr>
                <w:rFonts w:ascii="仿宋_GB2312" w:hAnsi="仿宋_GB2312" w:cs="仿宋_GB2312" w:eastAsia="仿宋_GB2312"/>
                <w:sz w:val="24"/>
              </w:rPr>
              <w:t>2s</w:t>
            </w:r>
            <w:r>
              <w:rPr>
                <w:rFonts w:ascii="仿宋_GB2312" w:hAnsi="仿宋_GB2312" w:cs="仿宋_GB2312" w:eastAsia="仿宋_GB2312"/>
                <w:sz w:val="24"/>
              </w:rPr>
              <w:t>；</w:t>
            </w:r>
          </w:p>
          <w:p>
            <w:pPr>
              <w:pStyle w:val="null3"/>
              <w:spacing w:before="105" w:after="105"/>
              <w:ind w:left="1020"/>
              <w:jc w:val="both"/>
            </w:pPr>
            <w:r>
              <w:rPr>
                <w:rFonts w:ascii="仿宋_GB2312" w:hAnsi="仿宋_GB2312" w:cs="仿宋_GB2312" w:eastAsia="仿宋_GB2312"/>
                <w:sz w:val="24"/>
              </w:rPr>
              <w:t>4.</w:t>
            </w:r>
            <w:r>
              <w:rPr>
                <w:rFonts w:ascii="仿宋_GB2312" w:hAnsi="仿宋_GB2312" w:cs="仿宋_GB2312" w:eastAsia="仿宋_GB2312"/>
                <w:sz w:val="24"/>
              </w:rPr>
              <w:t>驱动载荷变化：</w:t>
            </w:r>
            <w:r>
              <w:rPr>
                <w:rFonts w:ascii="仿宋_GB2312" w:hAnsi="仿宋_GB2312" w:cs="仿宋_GB2312" w:eastAsia="仿宋_GB2312"/>
                <w:sz w:val="24"/>
              </w:rPr>
              <w:t>21 kg/m</w:t>
            </w:r>
            <w:r>
              <w:rPr>
                <w:rFonts w:ascii="仿宋_GB2312" w:hAnsi="仿宋_GB2312" w:cs="仿宋_GB2312" w:eastAsia="仿宋_GB2312"/>
                <w:sz w:val="24"/>
                <w:vertAlign w:val="superscript"/>
              </w:rPr>
              <w:t>3</w:t>
            </w:r>
            <w:r>
              <w:rPr>
                <w:rFonts w:ascii="仿宋_GB2312" w:hAnsi="仿宋_GB2312" w:cs="仿宋_GB2312" w:eastAsia="仿宋_GB2312"/>
                <w:sz w:val="24"/>
              </w:rPr>
              <w:t>/m</w:t>
            </w:r>
            <w:r>
              <w:rPr>
                <w:rFonts w:ascii="仿宋_GB2312" w:hAnsi="仿宋_GB2312" w:cs="仿宋_GB2312" w:eastAsia="仿宋_GB2312"/>
                <w:sz w:val="24"/>
              </w:rPr>
              <w:t>（匹配项目用敏感单元对应密度变化）；</w:t>
            </w:r>
          </w:p>
          <w:p>
            <w:pPr>
              <w:pStyle w:val="null3"/>
              <w:spacing w:before="105" w:after="105"/>
              <w:ind w:left="1020"/>
              <w:jc w:val="both"/>
            </w:pPr>
            <w:r>
              <w:rPr>
                <w:rFonts w:ascii="仿宋_GB2312" w:hAnsi="仿宋_GB2312" w:cs="仿宋_GB2312" w:eastAsia="仿宋_GB2312"/>
                <w:sz w:val="24"/>
              </w:rPr>
              <w:t>5.</w:t>
            </w:r>
            <w:r>
              <w:rPr>
                <w:rFonts w:ascii="仿宋_GB2312" w:hAnsi="仿宋_GB2312" w:cs="仿宋_GB2312" w:eastAsia="仿宋_GB2312"/>
                <w:sz w:val="24"/>
              </w:rPr>
              <w:t>数据处理速率：采样率</w:t>
            </w:r>
            <w:r>
              <w:rPr>
                <w:rFonts w:ascii="仿宋_GB2312" w:hAnsi="仿宋_GB2312" w:cs="仿宋_GB2312" w:eastAsia="仿宋_GB2312"/>
                <w:sz w:val="24"/>
              </w:rPr>
              <w:t>44kHz</w:t>
            </w:r>
            <w:r>
              <w:rPr>
                <w:rFonts w:ascii="仿宋_GB2312" w:hAnsi="仿宋_GB2312" w:cs="仿宋_GB2312" w:eastAsia="仿宋_GB2312"/>
                <w:sz w:val="24"/>
              </w:rPr>
              <w:t>，最高支持</w:t>
            </w:r>
            <w:r>
              <w:rPr>
                <w:rFonts w:ascii="仿宋_GB2312" w:hAnsi="仿宋_GB2312" w:cs="仿宋_GB2312" w:eastAsia="仿宋_GB2312"/>
                <w:sz w:val="24"/>
              </w:rPr>
              <w:t>100kHz</w:t>
            </w:r>
            <w:r>
              <w:rPr>
                <w:rFonts w:ascii="仿宋_GB2312" w:hAnsi="仿宋_GB2312" w:cs="仿宋_GB2312" w:eastAsia="仿宋_GB2312"/>
                <w:sz w:val="24"/>
              </w:rPr>
              <w:t>；振动频率处理速度大于</w:t>
            </w:r>
            <w:r>
              <w:rPr>
                <w:rFonts w:ascii="仿宋_GB2312" w:hAnsi="仿宋_GB2312" w:cs="仿宋_GB2312" w:eastAsia="仿宋_GB2312"/>
                <w:sz w:val="24"/>
              </w:rPr>
              <w:t>10</w:t>
            </w:r>
            <w:r>
              <w:rPr>
                <w:rFonts w:ascii="仿宋_GB2312" w:hAnsi="仿宋_GB2312" w:cs="仿宋_GB2312" w:eastAsia="仿宋_GB2312"/>
                <w:sz w:val="24"/>
              </w:rPr>
              <w:t>次</w:t>
            </w:r>
            <w:r>
              <w:rPr>
                <w:rFonts w:ascii="仿宋_GB2312" w:hAnsi="仿宋_GB2312" w:cs="仿宋_GB2312" w:eastAsia="仿宋_GB2312"/>
                <w:sz w:val="24"/>
              </w:rPr>
              <w:t>/s</w:t>
            </w:r>
            <w:r>
              <w:rPr>
                <w:rFonts w:ascii="仿宋_GB2312" w:hAnsi="仿宋_GB2312" w:cs="仿宋_GB2312" w:eastAsia="仿宋_GB2312"/>
                <w:sz w:val="24"/>
              </w:rPr>
              <w:t>；</w:t>
            </w:r>
          </w:p>
          <w:p>
            <w:pPr>
              <w:pStyle w:val="null3"/>
              <w:spacing w:before="105" w:after="105"/>
              <w:ind w:left="1020"/>
              <w:jc w:val="both"/>
            </w:pPr>
            <w:r>
              <w:rPr>
                <w:rFonts w:ascii="仿宋_GB2312" w:hAnsi="仿宋_GB2312" w:cs="仿宋_GB2312" w:eastAsia="仿宋_GB2312"/>
                <w:sz w:val="24"/>
              </w:rPr>
              <w:t>6.</w:t>
            </w:r>
            <w:r>
              <w:rPr>
                <w:rFonts w:ascii="仿宋_GB2312" w:hAnsi="仿宋_GB2312" w:cs="仿宋_GB2312" w:eastAsia="仿宋_GB2312"/>
                <w:sz w:val="24"/>
              </w:rPr>
              <w:t>振动幅值：具有数字</w:t>
            </w:r>
            <w:r>
              <w:rPr>
                <w:rFonts w:ascii="仿宋_GB2312" w:hAnsi="仿宋_GB2312" w:cs="仿宋_GB2312" w:eastAsia="仿宋_GB2312"/>
                <w:sz w:val="24"/>
              </w:rPr>
              <w:t>AGC</w:t>
            </w:r>
            <w:r>
              <w:rPr>
                <w:rFonts w:ascii="仿宋_GB2312" w:hAnsi="仿宋_GB2312" w:cs="仿宋_GB2312" w:eastAsia="仿宋_GB2312"/>
                <w:sz w:val="24"/>
              </w:rPr>
              <w:t>单回路，满足项目匹配用敏感单元振动要求；</w:t>
            </w:r>
          </w:p>
          <w:p>
            <w:pPr>
              <w:pStyle w:val="null3"/>
              <w:spacing w:before="105" w:after="105"/>
              <w:ind w:left="1020"/>
              <w:jc w:val="both"/>
            </w:pPr>
            <w:r>
              <w:rPr>
                <w:rFonts w:ascii="仿宋_GB2312" w:hAnsi="仿宋_GB2312" w:cs="仿宋_GB2312" w:eastAsia="仿宋_GB2312"/>
                <w:sz w:val="24"/>
              </w:rPr>
              <w:t>7.</w:t>
            </w:r>
            <w:r>
              <w:rPr>
                <w:rFonts w:ascii="仿宋_GB2312" w:hAnsi="仿宋_GB2312" w:cs="仿宋_GB2312" w:eastAsia="仿宋_GB2312"/>
                <w:sz w:val="24"/>
              </w:rPr>
              <w:t>幅值稳定度：</w:t>
            </w:r>
            <w:r>
              <w:rPr>
                <w:rFonts w:ascii="仿宋_GB2312" w:hAnsi="仿宋_GB2312" w:cs="仿宋_GB2312" w:eastAsia="仿宋_GB2312"/>
                <w:sz w:val="24"/>
              </w:rPr>
              <w:t>0.1%</w:t>
            </w:r>
            <w:r>
              <w:rPr>
                <w:rFonts w:ascii="仿宋_GB2312" w:hAnsi="仿宋_GB2312" w:cs="仿宋_GB2312" w:eastAsia="仿宋_GB2312"/>
                <w:sz w:val="24"/>
              </w:rPr>
              <w:t>；</w:t>
            </w:r>
          </w:p>
          <w:p>
            <w:pPr>
              <w:pStyle w:val="null3"/>
              <w:spacing w:before="105" w:after="105"/>
              <w:ind w:left="1020"/>
              <w:jc w:val="both"/>
            </w:pPr>
            <w:r>
              <w:rPr>
                <w:rFonts w:ascii="仿宋_GB2312" w:hAnsi="仿宋_GB2312" w:cs="仿宋_GB2312" w:eastAsia="仿宋_GB2312"/>
                <w:sz w:val="24"/>
              </w:rPr>
              <w:t>8.</w:t>
            </w:r>
            <w:r>
              <w:rPr>
                <w:rFonts w:ascii="仿宋_GB2312" w:hAnsi="仿宋_GB2312" w:cs="仿宋_GB2312" w:eastAsia="仿宋_GB2312"/>
                <w:sz w:val="24"/>
              </w:rPr>
              <w:t>超调量：</w:t>
            </w:r>
            <w:r>
              <w:rPr>
                <w:rFonts w:ascii="仿宋_GB2312" w:hAnsi="仿宋_GB2312" w:cs="仿宋_GB2312" w:eastAsia="仿宋_GB2312"/>
                <w:sz w:val="24"/>
              </w:rPr>
              <w:t>1%</w:t>
            </w:r>
            <w:r>
              <w:rPr>
                <w:rFonts w:ascii="仿宋_GB2312" w:hAnsi="仿宋_GB2312" w:cs="仿宋_GB2312" w:eastAsia="仿宋_GB2312"/>
                <w:sz w:val="24"/>
              </w:rPr>
              <w:t>；</w:t>
            </w:r>
          </w:p>
          <w:p>
            <w:pPr>
              <w:pStyle w:val="null3"/>
              <w:spacing w:before="105" w:after="105"/>
              <w:ind w:left="1020"/>
              <w:jc w:val="both"/>
            </w:pPr>
            <w:r>
              <w:rPr>
                <w:rFonts w:ascii="仿宋_GB2312" w:hAnsi="仿宋_GB2312" w:cs="仿宋_GB2312" w:eastAsia="仿宋_GB2312"/>
                <w:sz w:val="24"/>
              </w:rPr>
              <w:t>9.</w:t>
            </w:r>
            <w:r>
              <w:rPr>
                <w:rFonts w:ascii="仿宋_GB2312" w:hAnsi="仿宋_GB2312" w:cs="仿宋_GB2312" w:eastAsia="仿宋_GB2312"/>
                <w:sz w:val="24"/>
              </w:rPr>
              <w:t>响应时间：</w:t>
            </w:r>
            <w:r>
              <w:rPr>
                <w:rFonts w:ascii="仿宋_GB2312" w:hAnsi="仿宋_GB2312" w:cs="仿宋_GB2312" w:eastAsia="仿宋_GB2312"/>
                <w:sz w:val="24"/>
              </w:rPr>
              <w:t>1ms</w:t>
            </w:r>
            <w:r>
              <w:rPr>
                <w:rFonts w:ascii="仿宋_GB2312" w:hAnsi="仿宋_GB2312" w:cs="仿宋_GB2312" w:eastAsia="仿宋_GB2312"/>
                <w:sz w:val="24"/>
              </w:rPr>
              <w:t>；</w:t>
            </w:r>
          </w:p>
          <w:p>
            <w:pPr>
              <w:pStyle w:val="null3"/>
              <w:spacing w:before="105" w:after="105"/>
              <w:ind w:left="1020"/>
              <w:jc w:val="both"/>
            </w:pPr>
            <w:r>
              <w:rPr>
                <w:rFonts w:ascii="仿宋_GB2312" w:hAnsi="仿宋_GB2312" w:cs="仿宋_GB2312" w:eastAsia="仿宋_GB2312"/>
                <w:sz w:val="24"/>
              </w:rPr>
              <w:t>10.</w:t>
            </w:r>
            <w:r>
              <w:rPr>
                <w:rFonts w:ascii="仿宋_GB2312" w:hAnsi="仿宋_GB2312" w:cs="仿宋_GB2312" w:eastAsia="仿宋_GB2312"/>
                <w:sz w:val="24"/>
              </w:rPr>
              <w:t>控制重复性：</w:t>
            </w:r>
            <w:r>
              <w:rPr>
                <w:rFonts w:ascii="仿宋_GB2312" w:hAnsi="仿宋_GB2312" w:cs="仿宋_GB2312" w:eastAsia="仿宋_GB2312"/>
                <w:sz w:val="24"/>
              </w:rPr>
              <w:t>0.01%</w:t>
            </w:r>
            <w:r>
              <w:rPr>
                <w:rFonts w:ascii="仿宋_GB2312" w:hAnsi="仿宋_GB2312" w:cs="仿宋_GB2312" w:eastAsia="仿宋_GB2312"/>
                <w:sz w:val="24"/>
              </w:rPr>
              <w:t>（多次启动频率变化率）；</w:t>
            </w:r>
          </w:p>
          <w:p>
            <w:pPr>
              <w:pStyle w:val="null3"/>
              <w:spacing w:before="105" w:after="105"/>
              <w:ind w:left="1020"/>
              <w:jc w:val="both"/>
            </w:pPr>
            <w:r>
              <w:rPr>
                <w:rFonts w:ascii="仿宋_GB2312" w:hAnsi="仿宋_GB2312" w:cs="仿宋_GB2312" w:eastAsia="仿宋_GB2312"/>
                <w:sz w:val="24"/>
              </w:rPr>
              <w:t>11.</w:t>
            </w:r>
            <w:r>
              <w:rPr>
                <w:rFonts w:ascii="仿宋_GB2312" w:hAnsi="仿宋_GB2312" w:cs="仿宋_GB2312" w:eastAsia="仿宋_GB2312"/>
                <w:sz w:val="24"/>
              </w:rPr>
              <w:t>实时处理能力</w:t>
            </w:r>
            <w:r>
              <w:rPr>
                <w:rFonts w:ascii="仿宋_GB2312" w:hAnsi="仿宋_GB2312" w:cs="仿宋_GB2312" w:eastAsia="仿宋_GB2312"/>
                <w:sz w:val="21"/>
              </w:rPr>
              <w:t>：</w:t>
            </w:r>
            <w:r>
              <w:rPr>
                <w:rFonts w:ascii="仿宋_GB2312" w:hAnsi="仿宋_GB2312" w:cs="仿宋_GB2312" w:eastAsia="仿宋_GB2312"/>
                <w:sz w:val="24"/>
              </w:rPr>
              <w:t>数字频率输出；</w:t>
            </w:r>
          </w:p>
          <w:p>
            <w:pPr>
              <w:pStyle w:val="null3"/>
              <w:spacing w:before="105" w:after="105"/>
              <w:ind w:left="1020"/>
              <w:jc w:val="both"/>
            </w:pPr>
            <w:r>
              <w:rPr>
                <w:rFonts w:ascii="仿宋_GB2312" w:hAnsi="仿宋_GB2312" w:cs="仿宋_GB2312" w:eastAsia="仿宋_GB2312"/>
                <w:sz w:val="24"/>
              </w:rPr>
              <w:t>12.</w:t>
            </w:r>
            <w:r>
              <w:rPr>
                <w:rFonts w:ascii="仿宋_GB2312" w:hAnsi="仿宋_GB2312" w:cs="仿宋_GB2312" w:eastAsia="仿宋_GB2312"/>
                <w:sz w:val="24"/>
              </w:rPr>
              <w:t>数字传输率：优于</w:t>
            </w:r>
            <w:r>
              <w:rPr>
                <w:rFonts w:ascii="仿宋_GB2312" w:hAnsi="仿宋_GB2312" w:cs="仿宋_GB2312" w:eastAsia="仿宋_GB2312"/>
                <w:sz w:val="24"/>
              </w:rPr>
              <w:t>9600bit/s</w:t>
            </w:r>
            <w:r>
              <w:rPr>
                <w:rFonts w:ascii="仿宋_GB2312" w:hAnsi="仿宋_GB2312" w:cs="仿宋_GB2312" w:eastAsia="仿宋_GB2312"/>
                <w:sz w:val="24"/>
              </w:rPr>
              <w:t>；</w:t>
            </w:r>
          </w:p>
          <w:p>
            <w:pPr>
              <w:pStyle w:val="null3"/>
              <w:spacing w:before="105" w:after="105"/>
              <w:ind w:left="1020"/>
              <w:jc w:val="both"/>
            </w:pPr>
            <w:r>
              <w:rPr>
                <w:rFonts w:ascii="仿宋_GB2312" w:hAnsi="仿宋_GB2312" w:cs="仿宋_GB2312" w:eastAsia="仿宋_GB2312"/>
                <w:sz w:val="24"/>
              </w:rPr>
              <w:t>13.</w:t>
            </w:r>
            <w:r>
              <w:rPr>
                <w:rFonts w:ascii="仿宋_GB2312" w:hAnsi="仿宋_GB2312" w:cs="仿宋_GB2312" w:eastAsia="仿宋_GB2312"/>
                <w:sz w:val="24"/>
              </w:rPr>
              <w:t>通讯参数可组态，传输组态变量包括但不限于：振动频率、驱动增益、振动幅值（电压）；</w:t>
            </w:r>
          </w:p>
          <w:p>
            <w:pPr>
              <w:pStyle w:val="null3"/>
              <w:spacing w:before="105" w:after="105"/>
              <w:ind w:left="1020"/>
              <w:jc w:val="both"/>
            </w:pPr>
            <w:r>
              <w:rPr>
                <w:rFonts w:ascii="仿宋_GB2312" w:hAnsi="仿宋_GB2312" w:cs="仿宋_GB2312" w:eastAsia="仿宋_GB2312"/>
                <w:sz w:val="24"/>
              </w:rPr>
              <w:t>14.</w:t>
            </w:r>
            <w:r>
              <w:rPr>
                <w:rFonts w:ascii="仿宋_GB2312" w:hAnsi="仿宋_GB2312" w:cs="仿宋_GB2312" w:eastAsia="仿宋_GB2312"/>
                <w:sz w:val="24"/>
                <w:color w:val="000000"/>
              </w:rPr>
              <w:t>软件控制稳定性和可靠性：在高信噪比下，仍能保证整机测量精度（气介质累积质量流量测量最大允许误差：</w:t>
            </w:r>
            <w:r>
              <w:rPr>
                <w:rFonts w:ascii="仿宋_GB2312" w:hAnsi="仿宋_GB2312" w:cs="仿宋_GB2312" w:eastAsia="仿宋_GB2312"/>
                <w:sz w:val="24"/>
                <w:color w:val="000000"/>
              </w:rPr>
              <w:t>±0.5%</w:t>
            </w:r>
            <w:r>
              <w:rPr>
                <w:rFonts w:ascii="仿宋_GB2312" w:hAnsi="仿宋_GB2312" w:cs="仿宋_GB2312" w:eastAsia="仿宋_GB2312"/>
                <w:sz w:val="24"/>
                <w:color w:val="000000"/>
              </w:rPr>
              <w:t>；气介质累积质量流量测量重复性：</w:t>
            </w:r>
            <w:r>
              <w:rPr>
                <w:rFonts w:ascii="仿宋_GB2312" w:hAnsi="仿宋_GB2312" w:cs="仿宋_GB2312" w:eastAsia="仿宋_GB2312"/>
                <w:sz w:val="24"/>
                <w:color w:val="000000"/>
              </w:rPr>
              <w:t>0.25%</w:t>
            </w:r>
            <w:r>
              <w:rPr>
                <w:rFonts w:ascii="仿宋_GB2312" w:hAnsi="仿宋_GB2312" w:cs="仿宋_GB2312" w:eastAsia="仿宋_GB2312"/>
                <w:sz w:val="24"/>
                <w:color w:val="000000"/>
              </w:rPr>
              <w:t>）；</w:t>
            </w:r>
          </w:p>
          <w:p>
            <w:pPr>
              <w:pStyle w:val="null3"/>
              <w:spacing w:before="105" w:after="105"/>
              <w:ind w:left="1020"/>
              <w:jc w:val="both"/>
            </w:pPr>
            <w:r>
              <w:rPr>
                <w:rFonts w:ascii="仿宋_GB2312" w:hAnsi="仿宋_GB2312" w:cs="仿宋_GB2312" w:eastAsia="仿宋_GB2312"/>
                <w:sz w:val="24"/>
              </w:rPr>
              <w:t>15.</w:t>
            </w:r>
            <w:r>
              <w:rPr>
                <w:rFonts w:ascii="仿宋_GB2312" w:hAnsi="仿宋_GB2312" w:cs="仿宋_GB2312" w:eastAsia="仿宋_GB2312"/>
                <w:sz w:val="24"/>
                <w:color w:val="000000"/>
              </w:rPr>
              <w:t>满足氢气压力变化（</w:t>
            </w:r>
            <w:r>
              <w:rPr>
                <w:rFonts w:ascii="仿宋_GB2312" w:hAnsi="仿宋_GB2312" w:cs="仿宋_GB2312" w:eastAsia="仿宋_GB2312"/>
                <w:sz w:val="24"/>
                <w:color w:val="000000"/>
              </w:rPr>
              <w:t>0.5~76</w:t>
            </w:r>
            <w:r>
              <w:rPr>
                <w:rFonts w:ascii="仿宋_GB2312" w:hAnsi="仿宋_GB2312" w:cs="仿宋_GB2312" w:eastAsia="仿宋_GB2312"/>
                <w:sz w:val="24"/>
                <w:color w:val="000000"/>
              </w:rPr>
              <w:t>）</w:t>
            </w:r>
            <w:r>
              <w:rPr>
                <w:rFonts w:ascii="仿宋_GB2312" w:hAnsi="仿宋_GB2312" w:cs="仿宋_GB2312" w:eastAsia="仿宋_GB2312"/>
                <w:sz w:val="24"/>
                <w:color w:val="000000"/>
              </w:rPr>
              <w:t>MPa</w:t>
            </w:r>
            <w:r>
              <w:rPr>
                <w:rFonts w:ascii="仿宋_GB2312" w:hAnsi="仿宋_GB2312" w:cs="仿宋_GB2312" w:eastAsia="仿宋_GB2312"/>
                <w:sz w:val="24"/>
                <w:color w:val="000000"/>
              </w:rPr>
              <w:t>引起的跟踪速率控制误差，无法提高时应能采取补偿措施；</w:t>
            </w:r>
          </w:p>
          <w:p>
            <w:pPr>
              <w:pStyle w:val="null3"/>
              <w:spacing w:before="105" w:after="105"/>
              <w:ind w:left="1020"/>
              <w:jc w:val="both"/>
            </w:pPr>
            <w:r>
              <w:rPr>
                <w:rFonts w:ascii="仿宋_GB2312" w:hAnsi="仿宋_GB2312" w:cs="仿宋_GB2312" w:eastAsia="仿宋_GB2312"/>
                <w:sz w:val="24"/>
              </w:rPr>
              <w:t>16.</w:t>
            </w:r>
            <w:r>
              <w:rPr>
                <w:rFonts w:ascii="仿宋_GB2312" w:hAnsi="仿宋_GB2312" w:cs="仿宋_GB2312" w:eastAsia="仿宋_GB2312"/>
                <w:sz w:val="24"/>
                <w:color w:val="000000"/>
              </w:rPr>
              <w:t>软件应具有良好的实际工况抗干扰能力，包括环境温度变化影响的补偿等，本条要求无量化指标，但应满足项目要求的整机现场测试精度。</w:t>
            </w:r>
          </w:p>
          <w:p>
            <w:pPr>
              <w:pStyle w:val="null3"/>
              <w:spacing w:before="105" w:after="105"/>
              <w:ind w:left="300"/>
              <w:jc w:val="left"/>
            </w:pPr>
            <w:r>
              <w:rPr>
                <w:rFonts w:ascii="仿宋_GB2312" w:hAnsi="仿宋_GB2312" w:cs="仿宋_GB2312" w:eastAsia="仿宋_GB2312"/>
                <w:sz w:val="24"/>
              </w:rPr>
              <w:t>三、</w:t>
            </w:r>
            <w:r>
              <w:rPr>
                <w:rFonts w:ascii="仿宋_GB2312" w:hAnsi="仿宋_GB2312" w:cs="仿宋_GB2312" w:eastAsia="仿宋_GB2312"/>
                <w:sz w:val="24"/>
                <w:b/>
              </w:rPr>
              <w:t>交付</w:t>
            </w:r>
            <w:r>
              <w:rPr>
                <w:rFonts w:ascii="仿宋_GB2312" w:hAnsi="仿宋_GB2312" w:cs="仿宋_GB2312" w:eastAsia="仿宋_GB2312"/>
                <w:sz w:val="24"/>
                <w:b/>
              </w:rPr>
              <w:t>/</w:t>
            </w:r>
            <w:r>
              <w:rPr>
                <w:rFonts w:ascii="仿宋_GB2312" w:hAnsi="仿宋_GB2312" w:cs="仿宋_GB2312" w:eastAsia="仿宋_GB2312"/>
                <w:sz w:val="24"/>
                <w:b/>
              </w:rPr>
              <w:t>服务要求</w:t>
            </w:r>
          </w:p>
          <w:p>
            <w:pPr>
              <w:pStyle w:val="null3"/>
              <w:spacing w:before="105" w:after="105"/>
              <w:ind w:left="720"/>
              <w:jc w:val="both"/>
            </w:pPr>
            <w:r>
              <w:rPr>
                <w:rFonts w:ascii="仿宋_GB2312" w:hAnsi="仿宋_GB2312" w:cs="仿宋_GB2312" w:eastAsia="仿宋_GB2312"/>
                <w:sz w:val="24"/>
              </w:rPr>
              <w:t>1.</w:t>
            </w:r>
            <w:r>
              <w:rPr>
                <w:rFonts w:ascii="仿宋_GB2312" w:hAnsi="仿宋_GB2312" w:cs="仿宋_GB2312" w:eastAsia="仿宋_GB2312"/>
                <w:sz w:val="24"/>
              </w:rPr>
              <w:t>软件</w:t>
            </w:r>
            <w:r>
              <w:rPr>
                <w:rFonts w:ascii="仿宋_GB2312" w:hAnsi="仿宋_GB2312" w:cs="仿宋_GB2312" w:eastAsia="仿宋_GB2312"/>
                <w:sz w:val="24"/>
                <w:color w:val="000000"/>
              </w:rPr>
              <w:t>开发周期</w:t>
            </w:r>
            <w:r>
              <w:rPr>
                <w:rFonts w:ascii="仿宋_GB2312" w:hAnsi="仿宋_GB2312" w:cs="仿宋_GB2312" w:eastAsia="仿宋_GB2312"/>
                <w:sz w:val="24"/>
              </w:rPr>
              <w:t>及开发内容如下：</w:t>
            </w:r>
          </w:p>
          <w:tbl>
            <w:tblPr>
              <w:tblBorders>
                <w:top w:val="none" w:color="000000" w:sz="4"/>
                <w:left w:val="none" w:color="000000" w:sz="4"/>
                <w:bottom w:val="none" w:color="000000" w:sz="4"/>
                <w:right w:val="none" w:color="000000" w:sz="4"/>
                <w:insideH w:val="none"/>
                <w:insideV w:val="none"/>
              </w:tblBorders>
            </w:tblPr>
            <w:tblGrid>
              <w:gridCol w:w="169"/>
              <w:gridCol w:w="517"/>
              <w:gridCol w:w="1120"/>
              <w:gridCol w:w="736"/>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序号</w:t>
                  </w:r>
                </w:p>
              </w:tc>
              <w:tc>
                <w:tcPr>
                  <w:tcW w:type="dxa" w:w="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阶段</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说明</w:t>
                  </w:r>
                </w:p>
              </w:tc>
              <w:tc>
                <w:tcPr>
                  <w:tcW w:type="dxa" w:w="7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具体开发内容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需求分析阶段</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完成详细的软件需求分析，并经甲方确认</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软件需求分析文档</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2</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设计阶段</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完成软件的整体设计方案，并提交甲方审核</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包括架构设计、数据库设计等</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3</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开发阶段</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按照设计方案进行软件编码开发工作</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通讯仿真软件编制</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4</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测试阶段</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乙方进行全面的软件测试，并提交测试报告给甲方</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包括功能测试、性能测试、安全测试等</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5</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交付验收阶段</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乙方将软件交付给甲方，并协助甲方进行验收工作</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rPr>
                    <w:t>交付可使用状态软件</w:t>
                  </w:r>
                </w:p>
              </w:tc>
            </w:tr>
            <w:tr>
              <w:tc>
                <w:tcPr>
                  <w:tcW w:type="dxa" w:w="6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开发周期</w:t>
                  </w:r>
                </w:p>
              </w:tc>
              <w:tc>
                <w:tcPr>
                  <w:tcW w:type="dxa" w:w="18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12</w:t>
                  </w:r>
                  <w:r>
                    <w:rPr>
                      <w:rFonts w:ascii="仿宋_GB2312" w:hAnsi="仿宋_GB2312" w:cs="仿宋_GB2312" w:eastAsia="仿宋_GB2312"/>
                      <w:sz w:val="24"/>
                    </w:rPr>
                    <w:t>个月</w:t>
                  </w:r>
                </w:p>
              </w:tc>
            </w:tr>
          </w:tbl>
          <w:p>
            <w:pPr>
              <w:pStyle w:val="null3"/>
              <w:spacing w:before="150" w:after="105"/>
              <w:ind w:left="135"/>
              <w:jc w:val="left"/>
            </w:pPr>
            <w:r>
              <w:rPr>
                <w:rFonts w:ascii="仿宋_GB2312" w:hAnsi="仿宋_GB2312" w:cs="仿宋_GB2312" w:eastAsia="仿宋_GB2312"/>
                <w:sz w:val="24"/>
              </w:rPr>
              <w:t>2.</w:t>
            </w:r>
            <w:r>
              <w:rPr>
                <w:rFonts w:ascii="仿宋_GB2312" w:hAnsi="仿宋_GB2312" w:cs="仿宋_GB2312" w:eastAsia="仿宋_GB2312"/>
                <w:sz w:val="24"/>
              </w:rPr>
              <w:t>在</w:t>
            </w:r>
            <w:r>
              <w:rPr>
                <w:rFonts w:ascii="仿宋_GB2312" w:hAnsi="仿宋_GB2312" w:cs="仿宋_GB2312" w:eastAsia="仿宋_GB2312"/>
                <w:sz w:val="24"/>
                <w:color w:val="000000"/>
              </w:rPr>
              <w:t>软件开发</w:t>
            </w:r>
            <w:r>
              <w:rPr>
                <w:rFonts w:ascii="仿宋_GB2312" w:hAnsi="仿宋_GB2312" w:cs="仿宋_GB2312" w:eastAsia="仿宋_GB2312"/>
                <w:sz w:val="24"/>
              </w:rPr>
              <w:t>完成后，提供完整的上位机组态软件源代码、编译后的可执行文件及其他技术文档（包括但不限于需求分析文档、设计文档、测试文档、使用说明等），并</w:t>
            </w:r>
            <w:r>
              <w:rPr>
                <w:rFonts w:ascii="仿宋_GB2312" w:hAnsi="仿宋_GB2312" w:cs="仿宋_GB2312" w:eastAsia="仿宋_GB2312"/>
                <w:sz w:val="24"/>
                <w:color w:val="000000"/>
              </w:rPr>
              <w:t>协助</w:t>
            </w:r>
            <w:r>
              <w:rPr>
                <w:rFonts w:ascii="仿宋_GB2312" w:hAnsi="仿宋_GB2312" w:cs="仿宋_GB2312" w:eastAsia="仿宋_GB2312"/>
                <w:sz w:val="24"/>
              </w:rPr>
              <w:t>进行软件的安装、部署和培训工作。</w:t>
            </w:r>
          </w:p>
          <w:p>
            <w:pPr>
              <w:pStyle w:val="null3"/>
              <w:spacing w:before="150" w:after="105"/>
              <w:ind w:left="135"/>
              <w:jc w:val="left"/>
            </w:pP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验收标准及方式</w:t>
            </w:r>
          </w:p>
          <w:p>
            <w:pPr>
              <w:pStyle w:val="null3"/>
              <w:spacing w:before="105" w:after="105"/>
              <w:ind w:firstLine="480"/>
              <w:jc w:val="left"/>
            </w:pPr>
            <w:r>
              <w:rPr>
                <w:rFonts w:ascii="仿宋_GB2312" w:hAnsi="仿宋_GB2312" w:cs="仿宋_GB2312" w:eastAsia="仿宋_GB2312"/>
                <w:sz w:val="24"/>
              </w:rPr>
              <w:t>软件交付后，</w:t>
            </w:r>
            <w:r>
              <w:rPr>
                <w:rFonts w:ascii="仿宋_GB2312" w:hAnsi="仿宋_GB2312" w:cs="仿宋_GB2312" w:eastAsia="仿宋_GB2312"/>
                <w:sz w:val="24"/>
                <w:color w:val="000000"/>
              </w:rPr>
              <w:t>由需求方委托第三方出具检测报告，</w:t>
            </w:r>
            <w:r>
              <w:rPr>
                <w:rFonts w:ascii="仿宋_GB2312" w:hAnsi="仿宋_GB2312" w:cs="仿宋_GB2312" w:eastAsia="仿宋_GB2312"/>
                <w:sz w:val="24"/>
              </w:rPr>
              <w:t>对照本需求第二条</w:t>
            </w:r>
            <w:r>
              <w:rPr>
                <w:rFonts w:ascii="仿宋_GB2312" w:hAnsi="仿宋_GB2312" w:cs="仿宋_GB2312" w:eastAsia="仿宋_GB2312"/>
                <w:sz w:val="24"/>
              </w:rPr>
              <w:t>“质量要求”中的技术要求逐项核对，</w:t>
            </w:r>
            <w:r>
              <w:rPr>
                <w:rFonts w:ascii="仿宋_GB2312" w:hAnsi="仿宋_GB2312" w:cs="仿宋_GB2312" w:eastAsia="仿宋_GB2312"/>
                <w:sz w:val="24"/>
                <w:color w:val="000000"/>
              </w:rPr>
              <w:t>经确认符合各项技术要求视为验收通过，否则供应方需在</w:t>
            </w:r>
            <w:r>
              <w:rPr>
                <w:rFonts w:ascii="仿宋_GB2312" w:hAnsi="仿宋_GB2312" w:cs="仿宋_GB2312" w:eastAsia="仿宋_GB2312"/>
                <w:sz w:val="24"/>
                <w:color w:val="000000"/>
              </w:rPr>
              <w:t>7</w:t>
            </w:r>
            <w:r>
              <w:rPr>
                <w:rFonts w:ascii="仿宋_GB2312" w:hAnsi="仿宋_GB2312" w:cs="仿宋_GB2312" w:eastAsia="仿宋_GB2312"/>
                <w:sz w:val="24"/>
                <w:color w:val="000000"/>
              </w:rPr>
              <w:t>个工作日内进行整改，并重新提交验收申请</w:t>
            </w:r>
            <w:r>
              <w:rPr>
                <w:rFonts w:ascii="仿宋_GB2312" w:hAnsi="仿宋_GB2312" w:cs="仿宋_GB2312" w:eastAsia="仿宋_GB2312"/>
                <w:sz w:val="24"/>
              </w:rPr>
              <w:t>。</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自签订后12个月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软件开发完成，交付后由甲方使用部门验收，确认符合各项技术要求视为验收通过，验收通过后一次性全款支付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软件交付后，由需求方委托第三方出具检测报告，对照本需求第二条“质量要求”中的技术要求逐项核对，经确认符合各项技术要求视为验收通过，否则供应方需在7个工作日内进行整改，并重新提交验收申请。</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其它符合性审查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2、投标文件是否按照招标文件要求格式编写； 3、投标内容是否有重大缺漏项； 4、投标报价是否具有唯一性； 5、投标文件的签署、加盖印章是否合格、有效； 6、投标报价是否未超过采购预算； 7、投标文件是否响应了招标文件要求的全部条款、条件和规格要求，并且提供了支持文件，没有重大偏离。</w:t>
            </w:r>
          </w:p>
        </w:tc>
        <w:tc>
          <w:tcPr>
            <w:tcW w:type="dxa" w:w="1661"/>
          </w:tcPr>
          <w:p>
            <w:pPr>
              <w:pStyle w:val="null3"/>
            </w:pPr>
            <w:r>
              <w:rPr>
                <w:rFonts w:ascii="仿宋_GB2312" w:hAnsi="仿宋_GB2312" w:cs="仿宋_GB2312" w:eastAsia="仿宋_GB2312"/>
              </w:rPr>
              <w:t>技术偏离表.docx 投标函 中小企业声明函 残疾人福利性单位声明函 投标文件封面 商务偏离表.docx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开发过程中的质量保障措施</w:t>
            </w:r>
          </w:p>
        </w:tc>
        <w:tc>
          <w:tcPr>
            <w:tcW w:type="dxa" w:w="2492"/>
          </w:tcPr>
          <w:p>
            <w:pPr>
              <w:pStyle w:val="null3"/>
            </w:pPr>
            <w:r>
              <w:rPr>
                <w:rFonts w:ascii="仿宋_GB2312" w:hAnsi="仿宋_GB2312" w:cs="仿宋_GB2312" w:eastAsia="仿宋_GB2312"/>
              </w:rPr>
              <w:t>1、针对本项目的特点，提供详细具体的质保承诺，内容完整、合理、可行计(2-4]分；内容较完整、合理计(0-2]分；未提供不计分。 2、针对本项目的特点，提供详细具体的质量保障措施，内容完整、合理、可行计(3-6]分；内容较完整、合理计(0-3]分；未提供不计分。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系统维护与升级</w:t>
            </w:r>
          </w:p>
        </w:tc>
        <w:tc>
          <w:tcPr>
            <w:tcW w:type="dxa" w:w="2492"/>
          </w:tcPr>
          <w:p>
            <w:pPr>
              <w:pStyle w:val="null3"/>
            </w:pPr>
            <w:r>
              <w:rPr>
                <w:rFonts w:ascii="仿宋_GB2312" w:hAnsi="仿宋_GB2312" w:cs="仿宋_GB2312" w:eastAsia="仿宋_GB2312"/>
              </w:rPr>
              <w:t>针对本项目的特点，提供详细具体的系统维护与升级措施，措施完善、可行计(2.5-5]分； 措施一般、可行性差计(0-2.5]；未提供不计分。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供应商就项目实施内容编写初步设计方案： 对项目整体理解内容全面，贴合度高，可实施性强计(12-15]分； 方案无缺项漏项，贴合度较高，可实施性较强计(9-12]分； 方案有缺项漏项，贴合度一般，基本可行计(6-9]分； 方案严重缺项漏项，内容简单粗略计(3-6]分； 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针对本项目的特点，提供详细具体的进度保证措施： 制定切实可行的进度计划和进度监管手段及保证措施，内容完备、科学、合理、针对性强计(2.5-5]分； 内容一般，执行度基本可行计(0-2.5]分；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拟投入本项目主要人员</w:t>
            </w:r>
          </w:p>
        </w:tc>
        <w:tc>
          <w:tcPr>
            <w:tcW w:type="dxa" w:w="2492"/>
          </w:tcPr>
          <w:p>
            <w:pPr>
              <w:pStyle w:val="null3"/>
            </w:pPr>
            <w:r>
              <w:rPr>
                <w:rFonts w:ascii="仿宋_GB2312" w:hAnsi="仿宋_GB2312" w:cs="仿宋_GB2312" w:eastAsia="仿宋_GB2312"/>
              </w:rPr>
              <w:t>针对本项目的特点，需投入实施本项目的相关技术人员，根据其提供的人员分工、职责和相关信息及证件的完善性，横向对比。 人员配备科学、合理，人员证件齐全，完全贴合本项目实际情况的计(4-6]分； 人员配备比较合理，人员证件较全，能贴合本项目实际情况的计(2-4]分； 人员配备不合理，人员证件不全计(0-2]；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针对本项目的特点，提供详细具体的培训方案，培训方案内容完整、可行，与采购人需求贴合度高计(1.5-3]分； 培训方案内容粗略、可行性较差计(0-1.5]分；未提供不计分。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针对本项目的特点，提供详细具体的安全保密措施及安全保密承诺，承诺及措施内容完善、可行计(1.5-3]分；承诺及措施内容一般、可行性差计(0-1.5]分；未提供不计分。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质保期内的服务措施</w:t>
            </w:r>
          </w:p>
        </w:tc>
        <w:tc>
          <w:tcPr>
            <w:tcW w:type="dxa" w:w="2492"/>
          </w:tcPr>
          <w:p>
            <w:pPr>
              <w:pStyle w:val="null3"/>
            </w:pPr>
            <w:r>
              <w:rPr>
                <w:rFonts w:ascii="仿宋_GB2312" w:hAnsi="仿宋_GB2312" w:cs="仿宋_GB2312" w:eastAsia="仿宋_GB2312"/>
              </w:rPr>
              <w:t>1、针对本项目实际情况，提供详细具体的质保期内的响应方式及响应时间，根据响应内容的完整性、可行性、及时性，横向对比计（0-3]分；未提供不计分。 2、针对本项目实际情况，提供详细具体的质保方式及措施，质保方式及措施完整、可行计(1.5-3]分；措施一般，可行度较差计(0-1.5]分；未提供不计分。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质保期内的服务承诺</w:t>
            </w:r>
          </w:p>
        </w:tc>
        <w:tc>
          <w:tcPr>
            <w:tcW w:type="dxa" w:w="2492"/>
          </w:tcPr>
          <w:p>
            <w:pPr>
              <w:pStyle w:val="null3"/>
            </w:pPr>
            <w:r>
              <w:rPr>
                <w:rFonts w:ascii="仿宋_GB2312" w:hAnsi="仿宋_GB2312" w:cs="仿宋_GB2312" w:eastAsia="仿宋_GB2312"/>
              </w:rPr>
              <w:t>针对本项目的特点，提供详细具体的售后服务承诺。根据其合理性、完善性，横向对比计(0-3]分，未提供不计分。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增量运维服务</w:t>
            </w:r>
          </w:p>
        </w:tc>
        <w:tc>
          <w:tcPr>
            <w:tcW w:type="dxa" w:w="2492"/>
          </w:tcPr>
          <w:p>
            <w:pPr>
              <w:pStyle w:val="null3"/>
            </w:pPr>
            <w:r>
              <w:rPr>
                <w:rFonts w:ascii="仿宋_GB2312" w:hAnsi="仿宋_GB2312" w:cs="仿宋_GB2312" w:eastAsia="仿宋_GB2312"/>
              </w:rPr>
              <w:t>1、针对本项目要求的增量运维服务，提供具体的增量运维服务承诺，内容完整、合理、可行计(1-2]分；内容较完整、合理计(0-1]分；未提供不计分。 2、针对本项目要求的增量运维服务特点，制定详细具体的增量运维服务措施，内容完整、合理、可行计(1-2]分；内容较完整、合理计(0-1]分；未提供不计分。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提供（2023年1月至投标截止之日）已完成的类似项目业绩证明材料，每提供1份计2分，最多计10分。（以供应商签订合同为准）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