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版本号：SXWZ2026ZB-STY-01220260302001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业财税管理应用系统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SXWZ2026ZB-STY-012</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业财税管理应用系统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SXWZ2026ZB-STY-012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业财税管理应用系统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业财税管理应用系统</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2、财务状况证明：提供经会计师事务所审计的2024年或2025年的财务审计报告（报告须带有二维码可验证）或在开标日期前六个月内其基本开户银行出具的资信证明；</w:t>
      </w:r>
    </w:p>
    <w:p>
      <w:pPr>
        <w:pStyle w:val="null3"/>
      </w:pPr>
      <w:r>
        <w:rPr>
          <w:rFonts w:ascii="仿宋_GB2312" w:hAnsi="仿宋_GB2312" w:cs="仿宋_GB2312" w:eastAsia="仿宋_GB2312"/>
        </w:rPr>
        <w:t>3、税收缴纳证明：供应商提供本单位2025年10月至今已缴纳的至少一个月纳税证明或完税证明，依法免税的单位应提供相关证明材料（时间以税款所属时期为准）；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7、本项目不接受联合体投标：非联合体投标声明。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代理服务费收费标准：代理服务费收费标准：中标服务费参照《招标代理服务收费暂行办法》（计价格[2002]1980 号）文件规定标准下浮20%计取。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踏勘时间：2026-03-10 10:00:00</w:t>
            </w:r>
          </w:p>
          <w:p>
            <w:pPr>
              <w:pStyle w:val="null3"/>
              <w:ind w:firstLine="975"/>
            </w:pPr>
            <w:r>
              <w:rPr>
                <w:rFonts w:ascii="仿宋_GB2312" w:hAnsi="仿宋_GB2312" w:cs="仿宋_GB2312" w:eastAsia="仿宋_GB2312"/>
              </w:rPr>
              <w:t>踏勘地点：陕西铁路工程职业技术学院 行政楼A2-528 过时不候</w:t>
            </w:r>
          </w:p>
          <w:p>
            <w:pPr>
              <w:pStyle w:val="null3"/>
              <w:ind w:firstLine="975"/>
            </w:pPr>
            <w:r>
              <w:rPr>
                <w:rFonts w:ascii="仿宋_GB2312" w:hAnsi="仿宋_GB2312" w:cs="仿宋_GB2312" w:eastAsia="仿宋_GB2312"/>
              </w:rPr>
              <w:t>联系人：范娟</w:t>
            </w:r>
          </w:p>
          <w:p>
            <w:pPr>
              <w:pStyle w:val="null3"/>
              <w:ind w:firstLine="975"/>
            </w:pPr>
            <w:r>
              <w:rPr>
                <w:rFonts w:ascii="仿宋_GB2312" w:hAnsi="仿宋_GB2312" w:cs="仿宋_GB2312" w:eastAsia="仿宋_GB2312"/>
              </w:rPr>
              <w:t>联系电话号码：18091309956</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依据采购文件、投标文件及采购合同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郝思思 薛毅凡</w:t>
      </w:r>
    </w:p>
    <w:p>
      <w:pPr>
        <w:pStyle w:val="null3"/>
      </w:pPr>
      <w:r>
        <w:rPr>
          <w:rFonts w:ascii="仿宋_GB2312" w:hAnsi="仿宋_GB2312" w:cs="仿宋_GB2312" w:eastAsia="仿宋_GB2312"/>
        </w:rPr>
        <w:t>联系电话：029-88319689-8007</w:t>
      </w:r>
    </w:p>
    <w:p>
      <w:pPr>
        <w:pStyle w:val="null3"/>
      </w:pPr>
      <w:r>
        <w:rPr>
          <w:rFonts w:ascii="仿宋_GB2312" w:hAnsi="仿宋_GB2312" w:cs="仿宋_GB2312" w:eastAsia="仿宋_GB2312"/>
        </w:rPr>
        <w:t>地址：西安市高新区唐延路旺座现代城C座25楼2504室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业财税管理应用系统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业财税管理应用系统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标的名称：业财税管理应用系统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2"/>
              <w:gridCol w:w="203"/>
              <w:gridCol w:w="150"/>
              <w:gridCol w:w="145"/>
              <w:gridCol w:w="1669"/>
              <w:gridCol w:w="126"/>
            </w:tblGrid>
            <w:tr>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采购内容</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1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标的物名称</w:t>
                  </w:r>
                </w:p>
              </w:tc>
              <w:tc>
                <w:tcPr>
                  <w:tcW w:type="dxa" w:w="1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主要技术参数</w:t>
                  </w:r>
                </w:p>
              </w:tc>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4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业财税管理应用系统（</w:t>
                  </w:r>
                  <w:r>
                    <w:rPr>
                      <w:rFonts w:ascii="仿宋_GB2312" w:hAnsi="仿宋_GB2312" w:cs="仿宋_GB2312" w:eastAsia="仿宋_GB2312"/>
                      <w:sz w:val="21"/>
                    </w:rPr>
                    <w:t>1套）</w:t>
                  </w:r>
                </w:p>
              </w:tc>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财政电子票据管理系统平台</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综合电子票据管理系统</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电子票据管理系统，包含基础信息、票据管理、票据开具、票据存档、票据交付及票据查询等核心的功能模块，满足学院财务处电子票据应用的基本需求。</w:t>
                  </w:r>
                </w:p>
                <w:p>
                  <w:pPr>
                    <w:pStyle w:val="null3"/>
                    <w:jc w:val="both"/>
                  </w:pPr>
                  <w:r>
                    <w:rPr>
                      <w:rFonts w:ascii="仿宋_GB2312" w:hAnsi="仿宋_GB2312" w:cs="仿宋_GB2312" w:eastAsia="仿宋_GB2312"/>
                      <w:sz w:val="21"/>
                    </w:rPr>
                    <w:t>1.基础信息：从财政获取单位基础信息，支持本地进行学院财务处基础信息的维护，是学院财务处平台应用的基础模块。</w:t>
                  </w:r>
                </w:p>
                <w:p>
                  <w:pPr>
                    <w:pStyle w:val="null3"/>
                    <w:jc w:val="both"/>
                  </w:pPr>
                  <w:r>
                    <w:rPr>
                      <w:rFonts w:ascii="仿宋_GB2312" w:hAnsi="仿宋_GB2312" w:cs="仿宋_GB2312" w:eastAsia="仿宋_GB2312"/>
                      <w:sz w:val="21"/>
                    </w:rPr>
                    <w:t>2.票据管理：电子票据申领、分发、申退、审验、销毁等业务管理。</w:t>
                  </w:r>
                </w:p>
                <w:p>
                  <w:pPr>
                    <w:pStyle w:val="null3"/>
                    <w:jc w:val="both"/>
                  </w:pPr>
                  <w:r>
                    <w:rPr>
                      <w:rFonts w:ascii="仿宋_GB2312" w:hAnsi="仿宋_GB2312" w:cs="仿宋_GB2312" w:eastAsia="仿宋_GB2312"/>
                      <w:sz w:val="21"/>
                    </w:rPr>
                    <w:t>3.票据开具：电子票据平台的核心功能模块，与现有统一收付平台对接实现电子票据的开具、冲红、打印、查询等核心业务。此外，平台还提供非税、往来、捐赠票据开具功能，实现校内全业务、全口径的开票管理。</w:t>
                  </w:r>
                </w:p>
                <w:p>
                  <w:pPr>
                    <w:pStyle w:val="null3"/>
                    <w:jc w:val="both"/>
                  </w:pPr>
                  <w:r>
                    <w:rPr>
                      <w:rFonts w:ascii="仿宋_GB2312" w:hAnsi="仿宋_GB2312" w:cs="仿宋_GB2312" w:eastAsia="仿宋_GB2312"/>
                      <w:sz w:val="21"/>
                    </w:rPr>
                    <w:t>4.票据交付：实现单位通过各种渠道将电子票据交付于缴款人。</w:t>
                  </w:r>
                </w:p>
                <w:p>
                  <w:pPr>
                    <w:pStyle w:val="null3"/>
                    <w:jc w:val="both"/>
                  </w:pPr>
                  <w:r>
                    <w:rPr>
                      <w:rFonts w:ascii="仿宋_GB2312" w:hAnsi="仿宋_GB2312" w:cs="仿宋_GB2312" w:eastAsia="仿宋_GB2312"/>
                      <w:sz w:val="21"/>
                    </w:rPr>
                    <w:t>5.数据核对管理。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实现与省财政厅电子票据平台的无缝对接、数据交互的兼容性、完整性且能够保持与省财政票据平台的同步更新与升级。</w:t>
                  </w:r>
                </w:p>
                <w:p>
                  <w:pPr>
                    <w:pStyle w:val="null3"/>
                    <w:jc w:val="both"/>
                  </w:pPr>
                  <w:r>
                    <w:rPr>
                      <w:rFonts w:ascii="仿宋_GB2312" w:hAnsi="仿宋_GB2312" w:cs="仿宋_GB2312" w:eastAsia="仿宋_GB2312"/>
                      <w:sz w:val="21"/>
                    </w:rPr>
                    <w:t>7.满足非税电子票据全国流转的需要，电子票据需要能够在财政部全国财政电子票据查验平台上进行查验。</w:t>
                  </w:r>
                </w:p>
                <w:p>
                  <w:pPr>
                    <w:pStyle w:val="null3"/>
                    <w:jc w:val="both"/>
                  </w:pPr>
                  <w:r>
                    <w:rPr>
                      <w:rFonts w:ascii="仿宋_GB2312" w:hAnsi="仿宋_GB2312" w:cs="仿宋_GB2312" w:eastAsia="仿宋_GB2312"/>
                      <w:sz w:val="21"/>
                    </w:rPr>
                    <w:t>8.实现财政电子票据、校内电子凭证在一个平台上管理，具备和现有的统一收付平台无缝对接,实现数据实时同步。</w:t>
                  </w:r>
                </w:p>
                <w:p>
                  <w:pPr>
                    <w:pStyle w:val="null3"/>
                    <w:jc w:val="both"/>
                  </w:pPr>
                  <w:r>
                    <w:rPr>
                      <w:rFonts w:ascii="仿宋_GB2312" w:hAnsi="仿宋_GB2312" w:cs="仿宋_GB2312" w:eastAsia="仿宋_GB2312"/>
                      <w:sz w:val="21"/>
                    </w:rPr>
                    <w:t>9.对接国家税务局电子税务系统，在电子发票服务平台上可进行发票开具、交付、查验。</w:t>
                  </w:r>
                </w:p>
                <w:p>
                  <w:pPr>
                    <w:pStyle w:val="null3"/>
                    <w:jc w:val="both"/>
                  </w:pPr>
                  <w:r>
                    <w:rPr>
                      <w:rFonts w:ascii="仿宋_GB2312" w:hAnsi="仿宋_GB2312" w:cs="仿宋_GB2312" w:eastAsia="仿宋_GB2312"/>
                      <w:sz w:val="21"/>
                    </w:rPr>
                    <w:t>10.可以通过客户端、移动端手机App随时随地开具全电发票。</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2"/>
                  <w:vMerge/>
                  <w:tcBorders>
                    <w:top w:val="none" w:color="000000" w:sz="4"/>
                    <w:left w:val="single" w:color="000000" w:sz="4"/>
                    <w:bottom w:val="single" w:color="000000" w:sz="4"/>
                    <w:right w:val="single" w:color="000000" w:sz="4"/>
                  </w:tcBorders>
                </w:tcPr>
                <w:p/>
              </w:tc>
              <w:tc>
                <w:tcPr>
                  <w:tcW w:type="dxa" w:w="203"/>
                  <w:vMerge/>
                  <w:tcBorders>
                    <w:top w:val="none" w:color="000000" w:sz="4"/>
                    <w:left w:val="single" w:color="000000" w:sz="4"/>
                    <w:bottom w:val="single" w:color="000000" w:sz="4"/>
                    <w:right w:val="single" w:color="000000" w:sz="4"/>
                  </w:tcBorders>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签名服务器</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财务前置机服务器一台，用于与财政电子票据系统进行数据通迅和数据交互。</w:t>
                  </w:r>
                </w:p>
                <w:p>
                  <w:pPr>
                    <w:pStyle w:val="null3"/>
                    <w:jc w:val="left"/>
                  </w:pPr>
                  <w:r>
                    <w:rPr>
                      <w:rFonts w:ascii="仿宋_GB2312" w:hAnsi="仿宋_GB2312" w:cs="仿宋_GB2312" w:eastAsia="仿宋_GB2312"/>
                      <w:sz w:val="21"/>
                    </w:rPr>
                    <w:t>1.提供软硬一体机设备，不低于</w:t>
                  </w:r>
                  <w:r>
                    <w:rPr>
                      <w:rFonts w:ascii="仿宋_GB2312" w:hAnsi="仿宋_GB2312" w:cs="仿宋_GB2312" w:eastAsia="仿宋_GB2312"/>
                      <w:sz w:val="21"/>
                    </w:rPr>
                    <w:t>Intel Atom@x7-E3950，64G硬盘，12V5A电源适配器，10/100M自适应网卡。</w:t>
                  </w:r>
                </w:p>
                <w:p>
                  <w:pPr>
                    <w:pStyle w:val="null3"/>
                    <w:jc w:val="left"/>
                  </w:pPr>
                  <w:r>
                    <w:rPr>
                      <w:rFonts w:ascii="仿宋_GB2312" w:hAnsi="仿宋_GB2312" w:cs="仿宋_GB2312" w:eastAsia="仿宋_GB2312"/>
                      <w:sz w:val="21"/>
                    </w:rPr>
                    <w:t>2.支持RSA算法、SM2算法证书。</w:t>
                  </w:r>
                </w:p>
                <w:p>
                  <w:pPr>
                    <w:pStyle w:val="null3"/>
                    <w:jc w:val="left"/>
                  </w:pPr>
                  <w:r>
                    <w:rPr>
                      <w:rFonts w:ascii="仿宋_GB2312" w:hAnsi="仿宋_GB2312" w:cs="仿宋_GB2312" w:eastAsia="仿宋_GB2312"/>
                      <w:sz w:val="21"/>
                    </w:rPr>
                    <w:t>3.支持摘要算法：SHA256、SHA384、SHA512、SM3。</w:t>
                  </w:r>
                </w:p>
                <w:p>
                  <w:pPr>
                    <w:pStyle w:val="null3"/>
                    <w:jc w:val="left"/>
                  </w:pPr>
                  <w:r>
                    <w:rPr>
                      <w:rFonts w:ascii="仿宋_GB2312" w:hAnsi="仿宋_GB2312" w:cs="仿宋_GB2312" w:eastAsia="仿宋_GB2312"/>
                      <w:sz w:val="21"/>
                    </w:rPr>
                    <w:t>4.系统用户分为配置管理员、业务管理员、审计管理员。</w:t>
                  </w:r>
                </w:p>
                <w:p>
                  <w:pPr>
                    <w:pStyle w:val="null3"/>
                    <w:jc w:val="left"/>
                  </w:pPr>
                  <w:r>
                    <w:rPr>
                      <w:rFonts w:ascii="仿宋_GB2312" w:hAnsi="仿宋_GB2312" w:cs="仿宋_GB2312" w:eastAsia="仿宋_GB2312"/>
                      <w:sz w:val="21"/>
                    </w:rPr>
                    <w:t>5.配置管理包括服务器证书配置、CA证书配置、CRL配置、应用信息设置、事件管理、配置信息导入导出等功能。</w:t>
                  </w:r>
                </w:p>
                <w:p>
                  <w:pPr>
                    <w:pStyle w:val="null3"/>
                    <w:jc w:val="left"/>
                  </w:pPr>
                  <w:r>
                    <w:rPr>
                      <w:rFonts w:ascii="仿宋_GB2312" w:hAnsi="仿宋_GB2312" w:cs="仿宋_GB2312" w:eastAsia="仿宋_GB2312"/>
                      <w:sz w:val="21"/>
                    </w:rPr>
                    <w:t>6.支持数字信封和带签名的数字信封功能。</w:t>
                  </w:r>
                </w:p>
                <w:p>
                  <w:pPr>
                    <w:pStyle w:val="null3"/>
                    <w:jc w:val="left"/>
                  </w:pPr>
                  <w:r>
                    <w:rPr>
                      <w:rFonts w:ascii="仿宋_GB2312" w:hAnsi="仿宋_GB2312" w:cs="仿宋_GB2312" w:eastAsia="仿宋_GB2312"/>
                      <w:sz w:val="21"/>
                    </w:rPr>
                    <w:t>7.完成与财政票据电子化系统的安全改造，保障票据数据的私密性、完整性和不可否认性，无需调试对接即插即用。</w:t>
                  </w:r>
                </w:p>
                <w:p>
                  <w:pPr>
                    <w:pStyle w:val="null3"/>
                    <w:jc w:val="left"/>
                  </w:pPr>
                  <w:r>
                    <w:rPr>
                      <w:rFonts w:ascii="仿宋_GB2312" w:hAnsi="仿宋_GB2312" w:cs="仿宋_GB2312" w:eastAsia="仿宋_GB2312"/>
                      <w:sz w:val="21"/>
                    </w:rPr>
                    <w:t>8.为确保机构证书的安全性，投标产品支持财政证书的在线申请、在线更新、在线下载等功能</w:t>
                  </w:r>
                </w:p>
                <w:p>
                  <w:pPr>
                    <w:pStyle w:val="null3"/>
                    <w:jc w:val="left"/>
                  </w:pPr>
                  <w:r>
                    <w:rPr>
                      <w:rFonts w:ascii="仿宋_GB2312" w:hAnsi="仿宋_GB2312" w:cs="仿宋_GB2312" w:eastAsia="仿宋_GB2312"/>
                      <w:sz w:val="21"/>
                    </w:rPr>
                    <w:t>▲9.签名服务器和学校现有统一收付平台必须无缝对接开票。</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42"/>
                  <w:vMerge/>
                  <w:tcBorders>
                    <w:top w:val="none" w:color="000000" w:sz="4"/>
                    <w:left w:val="single" w:color="000000" w:sz="4"/>
                    <w:bottom w:val="single" w:color="000000" w:sz="4"/>
                    <w:right w:val="single" w:color="000000" w:sz="4"/>
                  </w:tcBorders>
                </w:tcP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智慧物业实训平台（核心产品）</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智慧物业实训平台</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实现物业管理各个功能模块（系统平台、基础档案、收费管理、客户服务、设备管理、安防巡更、综合巡检、移动端应用、报表管理）的应用。</w:t>
                  </w:r>
                </w:p>
                <w:p>
                  <w:pPr>
                    <w:pStyle w:val="null3"/>
                    <w:jc w:val="left"/>
                  </w:pPr>
                  <w:r>
                    <w:rPr>
                      <w:rFonts w:ascii="仿宋_GB2312" w:hAnsi="仿宋_GB2312" w:cs="仿宋_GB2312" w:eastAsia="仿宋_GB2312"/>
                      <w:sz w:val="21"/>
                    </w:rPr>
                    <w:t>具体如下：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1）系统管理</w:t>
                  </w:r>
                </w:p>
                <w:p>
                  <w:pPr>
                    <w:pStyle w:val="null3"/>
                    <w:jc w:val="left"/>
                  </w:pPr>
                  <w:r>
                    <w:rPr>
                      <w:rFonts w:ascii="仿宋_GB2312" w:hAnsi="仿宋_GB2312" w:cs="仿宋_GB2312" w:eastAsia="仿宋_GB2312"/>
                      <w:sz w:val="21"/>
                    </w:rPr>
                    <w:t>用户权限管理：用户注册、注销、用户信息修改、密码修改、用户分类等；对用户使用权限进行添加、修改、删除；可根据单位、部门、不同类型的用户进行角色授权，权限包括：信息的接收、输入、修改（增减）、查询、浏览、打印、导出功能等；</w:t>
                  </w:r>
                  <w:r>
                    <w:rPr>
                      <w:rFonts w:ascii="仿宋_GB2312" w:hAnsi="仿宋_GB2312" w:cs="仿宋_GB2312" w:eastAsia="仿宋_GB2312"/>
                      <w:sz w:val="21"/>
                    </w:rPr>
                    <w:t xml:space="preserve"> 通过日志管理，完成系统日志的记录、分类、查询、分析以及日志的处理等。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2）基础档案</w:t>
                  </w:r>
                </w:p>
                <w:p>
                  <w:pPr>
                    <w:pStyle w:val="null3"/>
                    <w:jc w:val="left"/>
                  </w:pPr>
                  <w:r>
                    <w:rPr>
                      <w:rFonts w:ascii="仿宋_GB2312" w:hAnsi="仿宋_GB2312" w:cs="仿宋_GB2312" w:eastAsia="仿宋_GB2312"/>
                      <w:sz w:val="21"/>
                    </w:rPr>
                    <w:t>可管理各类物业形态，包括但不限于房屋、场地、空间等各类物业形态，可按项目区域、用途、来建立房源、场地信息，房间资料可维护（调整、更新）建筑面积、使用面积、收费面积等基本信息，显示房间租赁及使用状态</w:t>
                  </w:r>
                  <w:r>
                    <w:rPr>
                      <w:rFonts w:ascii="仿宋_GB2312" w:hAnsi="仿宋_GB2312" w:cs="仿宋_GB2312" w:eastAsia="仿宋_GB2312"/>
                      <w:sz w:val="21"/>
                    </w:rPr>
                    <w:t>(新租、续租、闲置、不可出租、包租等)。可以新建房间，也可以批量导入房间；房间维护需满足拆分与合并。</w:t>
                  </w:r>
                </w:p>
                <w:p>
                  <w:pPr>
                    <w:pStyle w:val="null3"/>
                    <w:jc w:val="left"/>
                  </w:pPr>
                  <w:r>
                    <w:rPr>
                      <w:rFonts w:ascii="仿宋_GB2312" w:hAnsi="仿宋_GB2312" w:cs="仿宋_GB2312" w:eastAsia="仿宋_GB2312"/>
                      <w:sz w:val="21"/>
                    </w:rPr>
                    <w:t>▲（3）收费管理</w:t>
                  </w:r>
                </w:p>
                <w:p>
                  <w:pPr>
                    <w:pStyle w:val="null3"/>
                    <w:jc w:val="left"/>
                  </w:pPr>
                  <w:r>
                    <w:rPr>
                      <w:rFonts w:ascii="仿宋_GB2312" w:hAnsi="仿宋_GB2312" w:cs="仿宋_GB2312" w:eastAsia="仿宋_GB2312"/>
                      <w:sz w:val="21"/>
                    </w:rPr>
                    <w:t>合同依据</w:t>
                  </w:r>
                  <w:r>
                    <w:rPr>
                      <w:rFonts w:ascii="仿宋_GB2312" w:hAnsi="仿宋_GB2312" w:cs="仿宋_GB2312" w:eastAsia="仿宋_GB2312"/>
                      <w:sz w:val="21"/>
                    </w:rPr>
                    <w:t>“收费标准”、“付费周期”来自动生成应收费用，且应收费用也可以进行手工调整。可以提供缴费、收费、支付、电子发票、结算一站式服务，便于租户缴费，同时应支持多种催缴方式（包括小程序推送、二维码；打印缴款通知书、催款函（均可自定义版本）等），支持对账单进行减免操作，支持调整应收日期，支持对账单进行退款操作；支持设定违约金是否收取，及收取多少比例，客户违约后，系统自动计算违约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4）客户服务</w:t>
                  </w:r>
                </w:p>
                <w:p>
                  <w:pPr>
                    <w:pStyle w:val="null3"/>
                    <w:jc w:val="left"/>
                  </w:pPr>
                  <w:r>
                    <w:rPr>
                      <w:rFonts w:ascii="仿宋_GB2312" w:hAnsi="仿宋_GB2312" w:cs="仿宋_GB2312" w:eastAsia="仿宋_GB2312"/>
                      <w:sz w:val="21"/>
                    </w:rPr>
                    <w:t>可根据不同的项目类型和管理要求，自由搭建工单流程，以满足业主需求及管理需要。为客户提供多渠道的报事途径，包括微信小程序、电话、代客户报事，通过录音拍照方式简单快速把需求传递给物业，物业员工可以通过手机快速地接到客户报事，可以通过派单的形式推送给相关负责人处理，员工和客户可以实时看到工单轨迹，工单完工后可以线上直接对服务满意度的评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5）设备管理</w:t>
                  </w:r>
                </w:p>
                <w:p>
                  <w:pPr>
                    <w:pStyle w:val="null3"/>
                    <w:jc w:val="left"/>
                  </w:pPr>
                  <w:r>
                    <w:rPr>
                      <w:rFonts w:ascii="仿宋_GB2312" w:hAnsi="仿宋_GB2312" w:cs="仿宋_GB2312" w:eastAsia="仿宋_GB2312"/>
                      <w:sz w:val="21"/>
                    </w:rPr>
                    <w:t>设备保养管理，建立设备档案，设备维护、设备数值、文字及图片记录；支持设备保养保养标准定义、保养方案管理、方案模板制定与按项目和设备类型和服务水平等下发、参数设置，支持保养项方案的批量导入，支持设置综合保养计划，支持在任务列表中查看已生成与待生成的任务；设备保养计划，设备完好率记录，支持设置综合保养计划，支持在任务列表中查看已生成与待生成的任务，与工单维修关联，支持监管设备保养计划生成工单的执行情况及现场保养明细，支持任务批量导出。</w:t>
                  </w:r>
                </w:p>
                <w:p>
                  <w:pPr>
                    <w:pStyle w:val="null3"/>
                    <w:jc w:val="left"/>
                  </w:pPr>
                  <w:r>
                    <w:rPr>
                      <w:rFonts w:ascii="仿宋_GB2312" w:hAnsi="仿宋_GB2312" w:cs="仿宋_GB2312" w:eastAsia="仿宋_GB2312"/>
                      <w:sz w:val="21"/>
                    </w:rPr>
                    <w:t>▲（6）安防巡更</w:t>
                  </w:r>
                </w:p>
                <w:p>
                  <w:pPr>
                    <w:pStyle w:val="null3"/>
                    <w:jc w:val="left"/>
                  </w:pPr>
                  <w:r>
                    <w:rPr>
                      <w:rFonts w:ascii="仿宋_GB2312" w:hAnsi="仿宋_GB2312" w:cs="仿宋_GB2312" w:eastAsia="仿宋_GB2312"/>
                      <w:sz w:val="21"/>
                    </w:rPr>
                    <w:t>支持对安防巡更检查项的设置，可统一制定安防检查方案、检查计划，并能按计划生成巡更任务工单智能下发，并支持保安在移动端进行巡更任务的操作，可以实施记录巡更的打点记录。</w:t>
                  </w:r>
                </w:p>
                <w:p>
                  <w:pPr>
                    <w:pStyle w:val="null3"/>
                    <w:jc w:val="left"/>
                  </w:pPr>
                  <w:r>
                    <w:rPr>
                      <w:rFonts w:ascii="仿宋_GB2312" w:hAnsi="仿宋_GB2312" w:cs="仿宋_GB2312" w:eastAsia="仿宋_GB2312"/>
                      <w:sz w:val="21"/>
                    </w:rPr>
                    <w:t>▲（7）综合巡检</w:t>
                  </w:r>
                </w:p>
                <w:p>
                  <w:pPr>
                    <w:pStyle w:val="null3"/>
                    <w:jc w:val="left"/>
                  </w:pPr>
                  <w:r>
                    <w:rPr>
                      <w:rFonts w:ascii="仿宋_GB2312" w:hAnsi="仿宋_GB2312" w:cs="仿宋_GB2312" w:eastAsia="仿宋_GB2312"/>
                      <w:sz w:val="21"/>
                    </w:rPr>
                    <w:t>综合巡检为项目内部自检，可以完成系统综合巡检检查</w:t>
                  </w:r>
                  <w:r>
                    <w:rPr>
                      <w:rFonts w:ascii="仿宋_GB2312" w:hAnsi="仿宋_GB2312" w:cs="仿宋_GB2312" w:eastAsia="仿宋_GB2312"/>
                      <w:sz w:val="21"/>
                    </w:rPr>
                    <w:t xml:space="preserve"> 标准定义、检查方案管理、方案模板制定与按项目和空间类 型和服务水平等下发、参数设置，支持检查项方案的批量导入。工作防作弊设置，平台支持可灵活设置巡更随机路线、 自由路线、顺序路线，包括随机抽取检查项、强制签到、强制拍照等。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8）移动端需求</w:t>
                  </w:r>
                </w:p>
                <w:p>
                  <w:pPr>
                    <w:pStyle w:val="null3"/>
                    <w:jc w:val="left"/>
                  </w:pPr>
                  <w:r>
                    <w:rPr>
                      <w:rFonts w:ascii="仿宋_GB2312" w:hAnsi="仿宋_GB2312" w:cs="仿宋_GB2312" w:eastAsia="仿宋_GB2312"/>
                      <w:sz w:val="21"/>
                    </w:rPr>
                    <w:t>客户端（小程序）：支持客户在线查费缴费，在线报事报修，可以对完成的工单进行评价反馈等，客户可在移动端进行维修下单等操作，支持支持业主在线问卷调查。</w:t>
                  </w:r>
                </w:p>
                <w:p>
                  <w:pPr>
                    <w:pStyle w:val="null3"/>
                    <w:jc w:val="left"/>
                  </w:pPr>
                  <w:r>
                    <w:rPr>
                      <w:rFonts w:ascii="仿宋_GB2312" w:hAnsi="仿宋_GB2312" w:cs="仿宋_GB2312" w:eastAsia="仿宋_GB2312"/>
                      <w:sz w:val="21"/>
                    </w:rPr>
                    <w:t>员工移动端：支持客服工单的接单、抢单、派单、反馈、发起整改工单、查看工单进度等操作；支持巡检管理工单的接单、执行、反馈、整改等操作；支持设备管理的移动巡检、维修、保养等操作；支持移动抄表、移动审批、移动报表等功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9）报表需求</w:t>
                  </w:r>
                </w:p>
                <w:p>
                  <w:pPr>
                    <w:pStyle w:val="null3"/>
                    <w:jc w:val="left"/>
                  </w:pPr>
                  <w:r>
                    <w:rPr>
                      <w:rFonts w:ascii="仿宋_GB2312" w:hAnsi="仿宋_GB2312" w:cs="仿宋_GB2312" w:eastAsia="仿宋_GB2312"/>
                      <w:sz w:val="21"/>
                    </w:rPr>
                    <w:t>系统输出各类</w:t>
                  </w:r>
                  <w:r>
                    <w:rPr>
                      <w:rFonts w:ascii="仿宋_GB2312" w:hAnsi="仿宋_GB2312" w:cs="仿宋_GB2312" w:eastAsia="仿宋_GB2312"/>
                      <w:sz w:val="21"/>
                    </w:rPr>
                    <w:t>Web端静态及动态报表，支持图表结合及移动端呈现，并可根据业务需要自定义个性报表</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性能指标</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1、技术原则要求</w:t>
                  </w:r>
                </w:p>
                <w:p>
                  <w:pPr>
                    <w:pStyle w:val="null3"/>
                    <w:jc w:val="left"/>
                  </w:pPr>
                  <w:r>
                    <w:rPr>
                      <w:rFonts w:ascii="仿宋_GB2312" w:hAnsi="仿宋_GB2312" w:cs="仿宋_GB2312" w:eastAsia="仿宋_GB2312"/>
                      <w:sz w:val="21"/>
                    </w:rPr>
                    <w:t>系统可在私有部署</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技术环境要求</w:t>
                  </w:r>
                </w:p>
                <w:p>
                  <w:pPr>
                    <w:pStyle w:val="null3"/>
                    <w:jc w:val="left"/>
                  </w:pPr>
                  <w:r>
                    <w:rPr>
                      <w:rFonts w:ascii="仿宋_GB2312" w:hAnsi="仿宋_GB2312" w:cs="仿宋_GB2312" w:eastAsia="仿宋_GB2312"/>
                      <w:sz w:val="21"/>
                    </w:rPr>
                    <w:t>2.1、应用开发技术：平台主体要求纯JAVA语言，B/S架构。提供Web端，员工APP端，租户小程序及公众号等使用方式，软件架构要求具备开放性，提供完整规范的开发接口，能够满足主流平台和跨平台快速应用开发的需求。</w:t>
                  </w:r>
                </w:p>
                <w:p>
                  <w:pPr>
                    <w:pStyle w:val="null3"/>
                    <w:jc w:val="left"/>
                  </w:pPr>
                  <w:r>
                    <w:rPr>
                      <w:rFonts w:ascii="仿宋_GB2312" w:hAnsi="仿宋_GB2312" w:cs="仿宋_GB2312" w:eastAsia="仿宋_GB2312"/>
                      <w:sz w:val="21"/>
                    </w:rPr>
                    <w:t>2.2、服务器操作系统：应用服务器和数据库服务器的操作系统都采用支持Linux 操作系统</w:t>
                  </w:r>
                </w:p>
                <w:p>
                  <w:pPr>
                    <w:pStyle w:val="null3"/>
                    <w:jc w:val="left"/>
                  </w:pPr>
                  <w:r>
                    <w:rPr>
                      <w:rFonts w:ascii="仿宋_GB2312" w:hAnsi="仿宋_GB2312" w:cs="仿宋_GB2312" w:eastAsia="仿宋_GB2312"/>
                      <w:sz w:val="21"/>
                    </w:rPr>
                    <w:t>2.3、数据库平台：采用企业级大型数据库等，满足海量数据存储及并发。</w:t>
                  </w:r>
                </w:p>
                <w:p>
                  <w:pPr>
                    <w:pStyle w:val="null3"/>
                    <w:jc w:val="left"/>
                  </w:pPr>
                  <w:r>
                    <w:rPr>
                      <w:rFonts w:ascii="仿宋_GB2312" w:hAnsi="仿宋_GB2312" w:cs="仿宋_GB2312" w:eastAsia="仿宋_GB2312"/>
                      <w:sz w:val="21"/>
                    </w:rPr>
                    <w:t>2.4、接口：系统必须具备集成其他外部应用系统的能力和良好的系统扩充性，提供可配置的标准接口，用于其它系统的读取和操作。</w:t>
                  </w:r>
                </w:p>
                <w:p>
                  <w:pPr>
                    <w:pStyle w:val="null3"/>
                    <w:jc w:val="left"/>
                  </w:pPr>
                  <w:r>
                    <w:rPr>
                      <w:rFonts w:ascii="仿宋_GB2312" w:hAnsi="仿宋_GB2312" w:cs="仿宋_GB2312" w:eastAsia="仿宋_GB2312"/>
                      <w:sz w:val="21"/>
                    </w:rPr>
                    <w:t>3、性能指标要求</w:t>
                  </w:r>
                </w:p>
                <w:p>
                  <w:pPr>
                    <w:pStyle w:val="null3"/>
                    <w:jc w:val="left"/>
                  </w:pPr>
                  <w:r>
                    <w:rPr>
                      <w:rFonts w:ascii="仿宋_GB2312" w:hAnsi="仿宋_GB2312" w:cs="仿宋_GB2312" w:eastAsia="仿宋_GB2312"/>
                      <w:sz w:val="21"/>
                    </w:rPr>
                    <w:t>3.1、平台并发：PC界面响应时间要求一般信息查看、录入界面</w:t>
                  </w:r>
                  <w:r>
                    <w:rPr>
                      <w:rFonts w:ascii="仿宋_GB2312" w:hAnsi="仿宋_GB2312" w:cs="仿宋_GB2312" w:eastAsia="仿宋_GB2312"/>
                      <w:sz w:val="21"/>
                    </w:rPr>
                    <w:t>≤</w:t>
                  </w:r>
                  <w:r>
                    <w:rPr>
                      <w:rFonts w:ascii="仿宋_GB2312" w:hAnsi="仿宋_GB2312" w:cs="仿宋_GB2312" w:eastAsia="仿宋_GB2312"/>
                      <w:sz w:val="21"/>
                    </w:rPr>
                    <w:t>8秒，报表查询响应时间</w:t>
                  </w:r>
                  <w:r>
                    <w:rPr>
                      <w:rFonts w:ascii="仿宋_GB2312" w:hAnsi="仿宋_GB2312" w:cs="仿宋_GB2312" w:eastAsia="仿宋_GB2312"/>
                      <w:sz w:val="21"/>
                    </w:rPr>
                    <w:t>≤</w:t>
                  </w:r>
                  <w:r>
                    <w:rPr>
                      <w:rFonts w:ascii="仿宋_GB2312" w:hAnsi="仿宋_GB2312" w:cs="仿宋_GB2312" w:eastAsia="仿宋_GB2312"/>
                      <w:sz w:val="21"/>
                    </w:rPr>
                    <w:t>15秒，复杂报表查询响应时间</w:t>
                  </w:r>
                  <w:r>
                    <w:rPr>
                      <w:rFonts w:ascii="仿宋_GB2312" w:hAnsi="仿宋_GB2312" w:cs="仿宋_GB2312" w:eastAsia="仿宋_GB2312"/>
                      <w:sz w:val="21"/>
                    </w:rPr>
                    <w:t>≤</w:t>
                  </w:r>
                  <w:r>
                    <w:rPr>
                      <w:rFonts w:ascii="仿宋_GB2312" w:hAnsi="仿宋_GB2312" w:cs="仿宋_GB2312" w:eastAsia="仿宋_GB2312"/>
                      <w:sz w:val="21"/>
                    </w:rPr>
                    <w:t>45秒。移动客户端主页展示</w:t>
                  </w:r>
                  <w:r>
                    <w:rPr>
                      <w:rFonts w:ascii="仿宋_GB2312" w:hAnsi="仿宋_GB2312" w:cs="仿宋_GB2312" w:eastAsia="仿宋_GB2312"/>
                      <w:sz w:val="21"/>
                    </w:rPr>
                    <w:t>≤</w:t>
                  </w:r>
                  <w:r>
                    <w:rPr>
                      <w:rFonts w:ascii="仿宋_GB2312" w:hAnsi="仿宋_GB2312" w:cs="仿宋_GB2312" w:eastAsia="仿宋_GB2312"/>
                      <w:sz w:val="21"/>
                    </w:rPr>
                    <w:t>5秒，子功能展示</w:t>
                  </w:r>
                  <w:r>
                    <w:rPr>
                      <w:rFonts w:ascii="仿宋_GB2312" w:hAnsi="仿宋_GB2312" w:cs="仿宋_GB2312" w:eastAsia="仿宋_GB2312"/>
                      <w:sz w:val="21"/>
                    </w:rPr>
                    <w:t>≤</w:t>
                  </w:r>
                  <w:r>
                    <w:rPr>
                      <w:rFonts w:ascii="仿宋_GB2312" w:hAnsi="仿宋_GB2312" w:cs="仿宋_GB2312" w:eastAsia="仿宋_GB2312"/>
                      <w:sz w:val="21"/>
                    </w:rPr>
                    <w:t>3秒，页面元素</w:t>
                  </w:r>
                  <w:r>
                    <w:rPr>
                      <w:rFonts w:ascii="仿宋_GB2312" w:hAnsi="仿宋_GB2312" w:cs="仿宋_GB2312" w:eastAsia="仿宋_GB2312"/>
                      <w:sz w:val="21"/>
                    </w:rPr>
                    <w:t>≤</w:t>
                  </w:r>
                  <w:r>
                    <w:rPr>
                      <w:rFonts w:ascii="仿宋_GB2312" w:hAnsi="仿宋_GB2312" w:cs="仿宋_GB2312" w:eastAsia="仿宋_GB2312"/>
                      <w:sz w:val="21"/>
                    </w:rPr>
                    <w:t>50个，页面阅读体验流畅，滚动阅读不停顿。灾备方面支持web系统及数据库系统均使用集群等冗余架构，云端定时备份。最大支持并发web</w:t>
                  </w:r>
                  <w:r>
                    <w:rPr>
                      <w:rFonts w:ascii="仿宋_GB2312" w:hAnsi="仿宋_GB2312" w:cs="仿宋_GB2312" w:eastAsia="仿宋_GB2312"/>
                      <w:sz w:val="21"/>
                    </w:rPr>
                    <w:t>≥</w:t>
                  </w:r>
                  <w:r>
                    <w:rPr>
                      <w:rFonts w:ascii="仿宋_GB2312" w:hAnsi="仿宋_GB2312" w:cs="仿宋_GB2312" w:eastAsia="仿宋_GB2312"/>
                      <w:sz w:val="21"/>
                    </w:rPr>
                    <w:t xml:space="preserve">1000  、接口 </w:t>
                  </w:r>
                  <w:r>
                    <w:rPr>
                      <w:rFonts w:ascii="仿宋_GB2312" w:hAnsi="仿宋_GB2312" w:cs="仿宋_GB2312" w:eastAsia="仿宋_GB2312"/>
                      <w:sz w:val="21"/>
                    </w:rPr>
                    <w:t>≥</w:t>
                  </w:r>
                  <w:r>
                    <w:rPr>
                      <w:rFonts w:ascii="仿宋_GB2312" w:hAnsi="仿宋_GB2312" w:cs="仿宋_GB2312" w:eastAsia="仿宋_GB2312"/>
                      <w:sz w:val="21"/>
                    </w:rPr>
                    <w:t>10000，项目数量支持</w:t>
                  </w:r>
                  <w:r>
                    <w:rPr>
                      <w:rFonts w:ascii="仿宋_GB2312" w:hAnsi="仿宋_GB2312" w:cs="仿宋_GB2312" w:eastAsia="仿宋_GB2312"/>
                      <w:sz w:val="21"/>
                    </w:rPr>
                    <w:t>≥</w:t>
                  </w:r>
                  <w:r>
                    <w:rPr>
                      <w:rFonts w:ascii="仿宋_GB2312" w:hAnsi="仿宋_GB2312" w:cs="仿宋_GB2312" w:eastAsia="仿宋_GB2312"/>
                      <w:sz w:val="21"/>
                    </w:rPr>
                    <w:t>100个。</w:t>
                  </w:r>
                </w:p>
                <w:p>
                  <w:pPr>
                    <w:pStyle w:val="null3"/>
                    <w:jc w:val="left"/>
                  </w:pPr>
                  <w:r>
                    <w:rPr>
                      <w:rFonts w:ascii="仿宋_GB2312" w:hAnsi="仿宋_GB2312" w:cs="仿宋_GB2312" w:eastAsia="仿宋_GB2312"/>
                      <w:sz w:val="21"/>
                    </w:rPr>
                    <w:t>3.2、互通性：平台之间、平台与监控资源、用户终端之间应能稳定、高效进行信息的传递、交换、控制，应能够有效地进行通信和共享数据，应能够实现不同厂商、不同规格的设备或系统间的兼容和互操作。</w:t>
                  </w:r>
                </w:p>
                <w:p>
                  <w:pPr>
                    <w:pStyle w:val="null3"/>
                    <w:jc w:val="left"/>
                  </w:pPr>
                  <w:r>
                    <w:rPr>
                      <w:rFonts w:ascii="仿宋_GB2312" w:hAnsi="仿宋_GB2312" w:cs="仿宋_GB2312" w:eastAsia="仿宋_GB2312"/>
                      <w:sz w:val="21"/>
                    </w:rPr>
                    <w:t>3.3、扩展性：在设计平台方案时，应采用模块化设计原则，便于系统在规模和功能上升级扩充。</w:t>
                  </w:r>
                </w:p>
                <w:p>
                  <w:pPr>
                    <w:pStyle w:val="null3"/>
                    <w:jc w:val="left"/>
                  </w:pPr>
                  <w:r>
                    <w:rPr>
                      <w:rFonts w:ascii="仿宋_GB2312" w:hAnsi="仿宋_GB2312" w:cs="仿宋_GB2312" w:eastAsia="仿宋_GB2312"/>
                      <w:sz w:val="21"/>
                    </w:rPr>
                    <w:t>3.4、可移植性：平台对运行环境（硬件设备、软件操作系统等）具有一定的适应性，不应只依赖于某一款计算机设备和固定版本的操作系统软件。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、稳定性：系统性能应保持稳定</w:t>
                  </w:r>
                </w:p>
                <w:p>
                  <w:pPr>
                    <w:pStyle w:val="null3"/>
                    <w:jc w:val="left"/>
                  </w:pPr>
                  <w:r>
                    <w:rPr>
                      <w:rFonts w:ascii="仿宋_GB2312" w:hAnsi="仿宋_GB2312" w:cs="仿宋_GB2312" w:eastAsia="仿宋_GB2312"/>
                      <w:sz w:val="21"/>
                    </w:rPr>
                    <w:t>4、系统安全性要求</w:t>
                  </w:r>
                </w:p>
                <w:p>
                  <w:pPr>
                    <w:pStyle w:val="null3"/>
                    <w:jc w:val="left"/>
                  </w:pPr>
                  <w:r>
                    <w:rPr>
                      <w:rFonts w:ascii="仿宋_GB2312" w:hAnsi="仿宋_GB2312" w:cs="仿宋_GB2312" w:eastAsia="仿宋_GB2312"/>
                      <w:sz w:val="21"/>
                    </w:rPr>
                    <w:t>4.1、权限管理：</w:t>
                  </w:r>
                  <w:r>
                    <w:rPr>
                      <w:rFonts w:ascii="仿宋_GB2312" w:hAnsi="仿宋_GB2312" w:cs="仿宋_GB2312" w:eastAsia="仿宋_GB2312"/>
                      <w:sz w:val="21"/>
                    </w:rPr>
                    <w:t>支持权限管理功能；支持密码管理功能</w:t>
                  </w:r>
                </w:p>
                <w:p>
                  <w:pPr>
                    <w:pStyle w:val="null3"/>
                    <w:jc w:val="left"/>
                  </w:pPr>
                  <w:r>
                    <w:rPr>
                      <w:rFonts w:ascii="仿宋_GB2312" w:hAnsi="仿宋_GB2312" w:cs="仿宋_GB2312" w:eastAsia="仿宋_GB2312"/>
                      <w:sz w:val="21"/>
                    </w:rPr>
                    <w:t>4.2、多租户模式：</w:t>
                  </w:r>
                  <w:r>
                    <w:rPr>
                      <w:rFonts w:ascii="仿宋_GB2312" w:hAnsi="仿宋_GB2312" w:cs="仿宋_GB2312" w:eastAsia="仿宋_GB2312"/>
                      <w:sz w:val="21"/>
                    </w:rPr>
                    <w:t>支持多租户模式功能</w:t>
                  </w:r>
                </w:p>
                <w:p>
                  <w:pPr>
                    <w:pStyle w:val="null3"/>
                    <w:jc w:val="left"/>
                  </w:pPr>
                  <w:r>
                    <w:rPr>
                      <w:rFonts w:ascii="仿宋_GB2312" w:hAnsi="仿宋_GB2312" w:cs="仿宋_GB2312" w:eastAsia="仿宋_GB2312"/>
                      <w:sz w:val="21"/>
                    </w:rPr>
                    <w:t>4.3、安全防护：</w:t>
                  </w:r>
                  <w:r>
                    <w:rPr>
                      <w:rFonts w:ascii="仿宋_GB2312" w:hAnsi="仿宋_GB2312" w:cs="仿宋_GB2312" w:eastAsia="仿宋_GB2312"/>
                      <w:sz w:val="21"/>
                    </w:rPr>
                    <w:t>支持安全防护功能</w:t>
                  </w:r>
                </w:p>
                <w:p>
                  <w:pPr>
                    <w:pStyle w:val="null3"/>
                    <w:jc w:val="left"/>
                  </w:pPr>
                  <w:r>
                    <w:rPr>
                      <w:rFonts w:ascii="仿宋_GB2312" w:hAnsi="仿宋_GB2312" w:cs="仿宋_GB2312" w:eastAsia="仿宋_GB2312"/>
                      <w:sz w:val="21"/>
                    </w:rPr>
                    <w:t>5、系统可维护性要求</w:t>
                  </w:r>
                </w:p>
                <w:p>
                  <w:pPr>
                    <w:pStyle w:val="null3"/>
                    <w:jc w:val="left"/>
                  </w:pPr>
                  <w:r>
                    <w:rPr>
                      <w:rFonts w:ascii="仿宋_GB2312" w:hAnsi="仿宋_GB2312" w:cs="仿宋_GB2312" w:eastAsia="仿宋_GB2312"/>
                      <w:sz w:val="21"/>
                    </w:rPr>
                    <w:t>5.1系统备份：</w:t>
                  </w:r>
                  <w:r>
                    <w:rPr>
                      <w:rFonts w:ascii="仿宋_GB2312" w:hAnsi="仿宋_GB2312" w:cs="仿宋_GB2312" w:eastAsia="仿宋_GB2312"/>
                      <w:sz w:val="21"/>
                    </w:rPr>
                    <w:t>具备</w:t>
                  </w:r>
                  <w:r>
                    <w:rPr>
                      <w:rFonts w:ascii="仿宋_GB2312" w:hAnsi="仿宋_GB2312" w:cs="仿宋_GB2312" w:eastAsia="仿宋_GB2312"/>
                      <w:sz w:val="21"/>
                    </w:rPr>
                    <w:t>系统备份</w:t>
                  </w:r>
                  <w:r>
                    <w:rPr>
                      <w:rFonts w:ascii="仿宋_GB2312" w:hAnsi="仿宋_GB2312" w:cs="仿宋_GB2312" w:eastAsia="仿宋_GB2312"/>
                      <w:sz w:val="21"/>
                    </w:rPr>
                    <w:t>功能</w:t>
                  </w:r>
                </w:p>
                <w:p>
                  <w:pPr>
                    <w:pStyle w:val="null3"/>
                    <w:jc w:val="left"/>
                  </w:pPr>
                  <w:r>
                    <w:rPr>
                      <w:rFonts w:ascii="仿宋_GB2312" w:hAnsi="仿宋_GB2312" w:cs="仿宋_GB2312" w:eastAsia="仿宋_GB2312"/>
                      <w:sz w:val="21"/>
                    </w:rPr>
                    <w:t>5.2.版本更新:</w:t>
                  </w:r>
                  <w:r>
                    <w:rPr>
                      <w:rFonts w:ascii="仿宋_GB2312" w:hAnsi="仿宋_GB2312" w:cs="仿宋_GB2312" w:eastAsia="仿宋_GB2312"/>
                      <w:sz w:val="21"/>
                    </w:rPr>
                    <w:t>具备版本更新功能</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2"/>
                  <w:vMerge/>
                  <w:tcBorders>
                    <w:top w:val="none" w:color="000000" w:sz="4"/>
                    <w:left w:val="single" w:color="000000" w:sz="4"/>
                    <w:bottom w:val="single" w:color="000000" w:sz="4"/>
                    <w:right w:val="single" w:color="000000" w:sz="4"/>
                  </w:tcBorders>
                </w:tcPr>
                <w:p/>
              </w:tc>
              <w:tc>
                <w:tcPr>
                  <w:tcW w:type="dxa" w:w="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业财税融合大数据审计实训模块</w:t>
                  </w: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业财税融合大数据审计实训平台</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.功能参数：</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教师端</w:t>
                  </w:r>
                  <w:r>
                    <w:rPr>
                      <w:rFonts w:ascii="仿宋_GB2312" w:hAnsi="仿宋_GB2312" w:cs="仿宋_GB2312" w:eastAsia="仿宋_GB2312"/>
                      <w:sz w:val="21"/>
                    </w:rPr>
                    <w:t>至少包括以下功能</w:t>
                  </w:r>
                  <w:r>
                    <w:rPr>
                      <w:rFonts w:ascii="仿宋_GB2312" w:hAnsi="仿宋_GB2312" w:cs="仿宋_GB2312" w:eastAsia="仿宋_GB2312"/>
                      <w:sz w:val="21"/>
                    </w:rPr>
                    <w:t>：</w:t>
                  </w:r>
                </w:p>
                <w:p>
                  <w:pPr>
                    <w:pStyle w:val="null3"/>
                    <w:numPr>
                      <w:ilvl w:val="0"/>
                      <w:numId w:val="1"/>
                    </w:numPr>
                    <w:jc w:val="both"/>
                  </w:pPr>
                  <w:r>
                    <w:rPr>
                      <w:rFonts w:ascii="仿宋_GB2312" w:hAnsi="仿宋_GB2312" w:cs="仿宋_GB2312" w:eastAsia="仿宋_GB2312"/>
                      <w:sz w:val="21"/>
                    </w:rPr>
                    <w:t>创建账号</w:t>
                  </w:r>
                  <w:r>
                    <w:rPr>
                      <w:rFonts w:ascii="仿宋_GB2312" w:hAnsi="仿宋_GB2312" w:cs="仿宋_GB2312" w:eastAsia="仿宋_GB2312"/>
                      <w:sz w:val="21"/>
                    </w:rPr>
                    <w:t>功能；</w:t>
                  </w:r>
                </w:p>
                <w:p>
                  <w:pPr>
                    <w:pStyle w:val="null3"/>
                    <w:numPr>
                      <w:ilvl w:val="0"/>
                      <w:numId w:val="1"/>
                    </w:numPr>
                    <w:jc w:val="both"/>
                  </w:pPr>
                  <w:r>
                    <w:rPr>
                      <w:rFonts w:ascii="仿宋_GB2312" w:hAnsi="仿宋_GB2312" w:cs="仿宋_GB2312" w:eastAsia="仿宋_GB2312"/>
                      <w:sz w:val="21"/>
                    </w:rPr>
                    <w:t>创建</w:t>
                  </w:r>
                  <w:r>
                    <w:rPr>
                      <w:rFonts w:ascii="仿宋_GB2312" w:hAnsi="仿宋_GB2312" w:cs="仿宋_GB2312" w:eastAsia="仿宋_GB2312"/>
                      <w:sz w:val="21"/>
                    </w:rPr>
                    <w:t>任务</w:t>
                  </w:r>
                  <w:r>
                    <w:rPr>
                      <w:rFonts w:ascii="仿宋_GB2312" w:hAnsi="仿宋_GB2312" w:cs="仿宋_GB2312" w:eastAsia="仿宋_GB2312"/>
                      <w:sz w:val="21"/>
                    </w:rPr>
                    <w:t>功能；</w:t>
                  </w:r>
                </w:p>
                <w:p>
                  <w:pPr>
                    <w:pStyle w:val="null3"/>
                    <w:numPr>
                      <w:ilvl w:val="0"/>
                      <w:numId w:val="1"/>
                    </w:numPr>
                    <w:jc w:val="both"/>
                  </w:pPr>
                  <w:r>
                    <w:rPr>
                      <w:rFonts w:ascii="仿宋_GB2312" w:hAnsi="仿宋_GB2312" w:cs="仿宋_GB2312" w:eastAsia="仿宋_GB2312"/>
                      <w:sz w:val="21"/>
                    </w:rPr>
                    <w:t>支持模板导入功能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学生端</w:t>
                  </w:r>
                  <w:r>
                    <w:rPr>
                      <w:rFonts w:ascii="仿宋_GB2312" w:hAnsi="仿宋_GB2312" w:cs="仿宋_GB2312" w:eastAsia="仿宋_GB2312"/>
                      <w:sz w:val="21"/>
                    </w:rPr>
                    <w:t>至少包括以下功能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1）支持登录账号；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支持任务分配；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支持业务列表查询功能；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）支持后台题型展示</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项目管理系统</w:t>
                  </w:r>
                  <w:r>
                    <w:rPr>
                      <w:rFonts w:ascii="仿宋_GB2312" w:hAnsi="仿宋_GB2312" w:cs="仿宋_GB2312" w:eastAsia="仿宋_GB2312"/>
                      <w:sz w:val="21"/>
                    </w:rPr>
                    <w:t>至少包括以下功能</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1）支持</w:t>
                  </w:r>
                  <w:r>
                    <w:rPr>
                      <w:rFonts w:ascii="仿宋_GB2312" w:hAnsi="仿宋_GB2312" w:cs="仿宋_GB2312" w:eastAsia="仿宋_GB2312"/>
                      <w:sz w:val="21"/>
                    </w:rPr>
                    <w:t>查看审计项目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2）支持</w:t>
                  </w:r>
                  <w:r>
                    <w:rPr>
                      <w:rFonts w:ascii="仿宋_GB2312" w:hAnsi="仿宋_GB2312" w:cs="仿宋_GB2312" w:eastAsia="仿宋_GB2312"/>
                      <w:sz w:val="21"/>
                    </w:rPr>
                    <w:t>审计业务工作（未分配状态下可预览）</w:t>
                  </w:r>
                  <w:r>
                    <w:rPr>
                      <w:rFonts w:ascii="仿宋_GB2312" w:hAnsi="仿宋_GB2312" w:cs="仿宋_GB2312" w:eastAsia="仿宋_GB2312"/>
                      <w:sz w:val="21"/>
                    </w:rPr>
                    <w:t>；（</w:t>
                  </w:r>
                  <w:r>
                    <w:rPr>
                      <w:rFonts w:ascii="仿宋_GB2312" w:hAnsi="仿宋_GB2312" w:cs="仿宋_GB2312" w:eastAsia="仿宋_GB2312"/>
                      <w:sz w:val="21"/>
                    </w:rPr>
                    <w:t>3）支持审计</w:t>
                  </w:r>
                  <w:r>
                    <w:rPr>
                      <w:rFonts w:ascii="仿宋_GB2312" w:hAnsi="仿宋_GB2312" w:cs="仿宋_GB2312" w:eastAsia="仿宋_GB2312"/>
                      <w:sz w:val="21"/>
                    </w:rPr>
                    <w:t>任务分配</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审计云平台：</w:t>
                  </w:r>
                </w:p>
                <w:p>
                  <w:pPr>
                    <w:pStyle w:val="null3"/>
                    <w:jc w:val="both"/>
                  </w:pPr>
                  <w:r>
                    <w:rPr>
                      <w:rFonts w:ascii="仿宋_GB2312" w:hAnsi="仿宋_GB2312" w:cs="仿宋_GB2312" w:eastAsia="仿宋_GB2312"/>
                      <w:sz w:val="21"/>
                    </w:rPr>
                    <w:t>查阅底稿、账簿及企业关联制度、审计模型</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▲5.支持</w:t>
                  </w:r>
                  <w:r>
                    <w:rPr>
                      <w:rFonts w:ascii="仿宋_GB2312" w:hAnsi="仿宋_GB2312" w:cs="仿宋_GB2312" w:eastAsia="仿宋_GB2312"/>
                      <w:sz w:val="21"/>
                    </w:rPr>
                    <w:t>Python在线编程</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计分</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.支持</w:t>
                  </w:r>
                  <w:r>
                    <w:rPr>
                      <w:rFonts w:ascii="仿宋_GB2312" w:hAnsi="仿宋_GB2312" w:cs="仿宋_GB2312" w:eastAsia="仿宋_GB2312"/>
                      <w:sz w:val="21"/>
                    </w:rPr>
                    <w:t>答题</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w:t>
                  </w:r>
                  <w:r>
                    <w:rPr>
                      <w:rFonts w:ascii="仿宋_GB2312" w:hAnsi="仿宋_GB2312" w:cs="仿宋_GB2312" w:eastAsia="仿宋_GB2312"/>
                      <w:sz w:val="21"/>
                    </w:rPr>
                    <w:t>交卷</w:t>
                  </w:r>
                  <w:r>
                    <w:rPr>
                      <w:rFonts w:ascii="仿宋_GB2312" w:hAnsi="仿宋_GB2312" w:cs="仿宋_GB2312" w:eastAsia="仿宋_GB2312"/>
                      <w:sz w:val="21"/>
                    </w:rPr>
                    <w:t>功能；</w:t>
                  </w:r>
                </w:p>
                <w:p>
                  <w:pPr>
                    <w:pStyle w:val="null3"/>
                    <w:jc w:val="both"/>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不少于三套不同行业的</w:t>
                  </w:r>
                  <w:r>
                    <w:rPr>
                      <w:rFonts w:ascii="仿宋_GB2312" w:hAnsi="仿宋_GB2312" w:cs="仿宋_GB2312" w:eastAsia="仿宋_GB2312"/>
                      <w:sz w:val="21"/>
                    </w:rPr>
                    <w:t>企业实训案例</w:t>
                  </w:r>
                  <w:r>
                    <w:rPr>
                      <w:rFonts w:ascii="仿宋_GB2312" w:hAnsi="仿宋_GB2312" w:cs="仿宋_GB2312" w:eastAsia="仿宋_GB2312"/>
                      <w:sz w:val="21"/>
                      <w:b/>
                    </w:rPr>
                    <w:t>（</w:t>
                  </w:r>
                  <w:r>
                    <w:rPr>
                      <w:rFonts w:ascii="仿宋_GB2312" w:hAnsi="仿宋_GB2312" w:cs="仿宋_GB2312" w:eastAsia="仿宋_GB2312"/>
                      <w:sz w:val="21"/>
                      <w:b/>
                      <w:color w:val="C00000"/>
                    </w:rPr>
                    <w:t>需提供</w:t>
                  </w:r>
                  <w:r>
                    <w:rPr>
                      <w:rFonts w:ascii="仿宋_GB2312" w:hAnsi="仿宋_GB2312" w:cs="仿宋_GB2312" w:eastAsia="仿宋_GB2312"/>
                      <w:sz w:val="21"/>
                      <w:b/>
                      <w:color w:val="C00000"/>
                    </w:rPr>
                    <w:t>演示，演示要求详见评分标准</w:t>
                  </w:r>
                  <w:r>
                    <w:rPr>
                      <w:rFonts w:ascii="仿宋_GB2312" w:hAnsi="仿宋_GB2312" w:cs="仿宋_GB2312" w:eastAsia="仿宋_GB2312"/>
                      <w:sz w:val="21"/>
                      <w:b/>
                      <w:color w:val="C00000"/>
                    </w:rPr>
                    <w:t>）</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42"/>
                  <w:vMerge/>
                  <w:tcBorders>
                    <w:top w:val="none" w:color="000000" w:sz="4"/>
                    <w:left w:val="single" w:color="000000" w:sz="4"/>
                    <w:bottom w:val="single" w:color="000000" w:sz="4"/>
                    <w:right w:val="single" w:color="000000" w:sz="4"/>
                  </w:tcBorders>
                </w:tcPr>
                <w:p/>
              </w:tc>
              <w:tc>
                <w:tcPr>
                  <w:tcW w:type="dxa" w:w="203"/>
                  <w:vMerge/>
                  <w:tcBorders>
                    <w:top w:val="none" w:color="000000" w:sz="4"/>
                    <w:left w:val="single" w:color="000000" w:sz="4"/>
                    <w:bottom w:val="single" w:color="000000" w:sz="4"/>
                    <w:right w:val="single" w:color="000000" w:sz="4"/>
                  </w:tcBorders>
                </w:tcPr>
                <w:p/>
              </w:tc>
              <w:tc>
                <w:tcPr>
                  <w:tcW w:type="dxa" w:w="1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课程资源</w:t>
                  </w:r>
                </w:p>
              </w:tc>
              <w:tc>
                <w:tcPr>
                  <w:tcW w:type="dxa" w:w="1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1.《业务税务管理》包括业务税务管理基础、筹资涉税业务管理、采购涉税业务管理、生产涉税业务管理、销售涉税业务管理、投资涉税业务管理、分配涉税业务管理、其他涉税业务管理</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2.《业务经济法》包括业务经济法基础、筹资管理相关法律制度、采购管理相关法律制度、生产管理相关法律制度、销售管理相关法律制度、分配管理相关法律制度</w:t>
                  </w:r>
                  <w:r>
                    <w:rPr>
                      <w:rFonts w:ascii="仿宋_GB2312" w:hAnsi="仿宋_GB2312" w:cs="仿宋_GB2312" w:eastAsia="仿宋_GB2312"/>
                      <w:sz w:val="21"/>
                    </w:rPr>
                    <w:t>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3.《业务财务管理》包括筹资管理、采购管理、销售管理、投资管理、财务成果分配管理。将业务流程、业务场景、节点工具、核算流程等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提供实训案例仿真训练</w:t>
                  </w:r>
                  <w:r>
                    <w:rPr>
                      <w:rFonts w:ascii="仿宋_GB2312" w:hAnsi="仿宋_GB2312" w:cs="仿宋_GB2312" w:eastAsia="仿宋_GB2312"/>
                      <w:sz w:val="21"/>
                    </w:rPr>
                    <w:t>：</w:t>
                  </w:r>
                  <w:r>
                    <w:rPr>
                      <w:rFonts w:ascii="仿宋_GB2312" w:hAnsi="仿宋_GB2312" w:cs="仿宋_GB2312" w:eastAsia="仿宋_GB2312"/>
                      <w:sz w:val="21"/>
                    </w:rPr>
                    <w:t>功能包含案例发布、成绩统计、团队训练、个人训练等不同的模式。</w:t>
                  </w:r>
                </w:p>
              </w:tc>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59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采购标的的专用工具、备品备件、安装调试及配套工程、质量保证、售后服务等要求</w:t>
                  </w:r>
                </w:p>
                <w:p>
                  <w:pPr>
                    <w:pStyle w:val="null3"/>
                    <w:jc w:val="both"/>
                  </w:pPr>
                </w:p>
              </w:tc>
              <w:tc>
                <w:tcPr>
                  <w:tcW w:type="dxa" w:w="194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采购标的的专用工具、备品备件如有，请详细列出</w:t>
                  </w:r>
                </w:p>
                <w:p>
                  <w:pPr>
                    <w:pStyle w:val="null3"/>
                    <w:jc w:val="left"/>
                  </w:pPr>
                  <w:r>
                    <w:rPr>
                      <w:rFonts w:ascii="仿宋_GB2312" w:hAnsi="仿宋_GB2312" w:cs="仿宋_GB2312" w:eastAsia="仿宋_GB2312"/>
                      <w:sz w:val="21"/>
                    </w:rPr>
                    <w:t>安装调试及配套工程：</w:t>
                  </w:r>
                  <w:r>
                    <w:rPr>
                      <w:rFonts w:ascii="仿宋_GB2312" w:hAnsi="仿宋_GB2312" w:cs="仿宋_GB2312" w:eastAsia="仿宋_GB2312"/>
                      <w:sz w:val="21"/>
                    </w:rPr>
                    <w:t>学校已具备安装环境</w:t>
                  </w:r>
                  <w:r>
                    <w:rPr>
                      <w:rFonts w:ascii="仿宋_GB2312" w:hAnsi="仿宋_GB2312" w:cs="仿宋_GB2312" w:eastAsia="仿宋_GB2312"/>
                      <w:sz w:val="21"/>
                    </w:rPr>
                    <w:t>，完成安装调试及配套工程，通过学校验收并达到可交付运行标准。</w:t>
                  </w:r>
                </w:p>
                <w:p>
                  <w:pPr>
                    <w:pStyle w:val="null3"/>
                    <w:jc w:val="left"/>
                  </w:pPr>
                  <w:r>
                    <w:rPr>
                      <w:rFonts w:ascii="仿宋_GB2312" w:hAnsi="仿宋_GB2312" w:cs="仿宋_GB2312" w:eastAsia="仿宋_GB2312"/>
                      <w:sz w:val="21"/>
                    </w:rPr>
                    <w:t>质量保证：软件验收合格之日起质保期</w:t>
                  </w:r>
                  <w:r>
                    <w:rPr>
                      <w:rFonts w:ascii="仿宋_GB2312" w:hAnsi="仿宋_GB2312" w:cs="仿宋_GB2312" w:eastAsia="仿宋_GB2312"/>
                      <w:sz w:val="21"/>
                    </w:rPr>
                    <w:t>3年，硬件验收合格之日起质保期1年。</w:t>
                  </w:r>
                </w:p>
                <w:p>
                  <w:pPr>
                    <w:pStyle w:val="null3"/>
                    <w:jc w:val="left"/>
                  </w:pPr>
                  <w:r>
                    <w:rPr>
                      <w:rFonts w:ascii="仿宋_GB2312" w:hAnsi="仿宋_GB2312" w:cs="仿宋_GB2312" w:eastAsia="仿宋_GB2312"/>
                      <w:sz w:val="21"/>
                    </w:rPr>
                    <w:t>售后服务：（</w:t>
                  </w:r>
                  <w:r>
                    <w:rPr>
                      <w:rFonts w:ascii="仿宋_GB2312" w:hAnsi="仿宋_GB2312" w:cs="仿宋_GB2312" w:eastAsia="仿宋_GB2312"/>
                      <w:sz w:val="21"/>
                    </w:rPr>
                    <w:t>1）按采购人要求进行安装调试，技术培训</w:t>
                  </w:r>
                  <w:r>
                    <w:rPr>
                      <w:rFonts w:ascii="仿宋_GB2312" w:hAnsi="仿宋_GB2312" w:cs="仿宋_GB2312" w:eastAsia="仿宋_GB2312"/>
                      <w:sz w:val="21"/>
                    </w:rPr>
                    <w:t>（提供</w:t>
                  </w:r>
                  <w:r>
                    <w:rPr>
                      <w:rFonts w:ascii="仿宋_GB2312" w:hAnsi="仿宋_GB2312" w:cs="仿宋_GB2312" w:eastAsia="仿宋_GB2312"/>
                      <w:sz w:val="21"/>
                    </w:rPr>
                    <w:t>不少于</w:t>
                  </w:r>
                  <w:r>
                    <w:rPr>
                      <w:rFonts w:ascii="仿宋_GB2312" w:hAnsi="仿宋_GB2312" w:cs="仿宋_GB2312" w:eastAsia="仿宋_GB2312"/>
                      <w:sz w:val="21"/>
                    </w:rPr>
                    <w:t>50人次的培训</w:t>
                  </w:r>
                  <w:r>
                    <w:rPr>
                      <w:rFonts w:ascii="仿宋_GB2312" w:hAnsi="仿宋_GB2312" w:cs="仿宋_GB2312" w:eastAsia="仿宋_GB2312"/>
                      <w:sz w:val="21"/>
                    </w:rPr>
                    <w:t>，直至操作人员熟练操作产品的各项功能</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2）保修期内接到报障电话在承诺时间内派工程技术人员上门维修解决问题。（3）</w:t>
                  </w:r>
                  <w:r>
                    <w:rPr>
                      <w:rFonts w:ascii="仿宋_GB2312" w:hAnsi="仿宋_GB2312" w:cs="仿宋_GB2312" w:eastAsia="仿宋_GB2312"/>
                      <w:sz w:val="21"/>
                    </w:rPr>
                    <w:t>保修</w:t>
                  </w:r>
                  <w:r>
                    <w:rPr>
                      <w:rFonts w:ascii="仿宋_GB2312" w:hAnsi="仿宋_GB2312" w:cs="仿宋_GB2312" w:eastAsia="仿宋_GB2312"/>
                      <w:sz w:val="21"/>
                    </w:rPr>
                    <w:t>期内免费升级</w:t>
                  </w:r>
                  <w:r>
                    <w:rPr>
                      <w:rFonts w:ascii="仿宋_GB2312" w:hAnsi="仿宋_GB2312" w:cs="仿宋_GB2312" w:eastAsia="仿宋_GB2312"/>
                      <w:sz w:val="21"/>
                    </w:rPr>
                    <w:t>。</w:t>
                  </w:r>
                  <w:r>
                    <w:rPr>
                      <w:rFonts w:ascii="仿宋_GB2312" w:hAnsi="仿宋_GB2312" w:cs="仿宋_GB2312" w:eastAsia="仿宋_GB2312"/>
                      <w:sz w:val="21"/>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软件安装部署完成后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最终验收合格后，乙方持《终验合格单》原件和全额增值税专用发票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软件设备质保期为3年（保修期内免费升级），硬件设备质保期为1年 （自验收合格交付使用开始计算时间）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 文件正本 壹 份、副本 壹 份。若电子投标文件与纸质投标文件不一致的，以线上提交的电子投标文件为准。 （1）线下提交投标文件地点：西安市高新区唐延路旺座现代城C座25楼2504室 （2）联系电话：029-88319689转8007 邮箱：sxwzzb@ 126.com 2、保证金汇款时请备注项目编号（例如备注为：陕铁-012） 3、报价说明：本项目报价包含产品费、安装调试费、运输费、人员费、保险费、税费以及投标人完成本项目过程中所产生的其他相关费用。（实质性要求）标的物所属行业以此处为准：签名服务器所属行业为工业；其他标的物所属行业为软件和信息技术服务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提供经会计师事务所审计的2024年或2025年的财务审计报告（报告须带有二维码可验证）或在开标日期前六个月内其基本开户银行出具的资信证明；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供应商提供本单位2025年10月至今已缴纳的至少一个月纳税证明或完税证明，依法免税的单位应提供相关证明材料（时间以税款所属时期为准）；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依据《中华人民共和国政府采购法》和《中华人民共和国政府采购法实施条例》的有关规定，落实政府采购“优先购买节能环保产品、扶持小微企业、残疾人就业、监狱企业、福利企业” 等相关政策。1、《关于印发&lt;政府采购促进中小企业发展管理办法&gt;的通知》（财库〔2020〕46号）；陕西省财政厅关于落实政府采购支持中小企业政策有关事项的通知（陕财办采函〔2022〕10号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 国家乡村振兴局关于运用政府采购政策支持乡村产业振兴的通知》（财库〔2021〕19号）、《中华全国供销合作总社关于印发&lt;关于深入开展政府采购脱贫地区农副产品工作推进乡村产业振兴的实施意见&gt;的通知》（财库〔2021〕20号）； 10、《陕西省财政厅关于加快推进我省中小企业政府采购信用融资工作的通知》（陕财办采〔2020〕15号）、关于印发《陕西省中小企业政府采购信用融资办法》（陕财办采〔2018〕23号）。 11、关于进一步加大政府采购支持中小企业力度的通知（财库﹝2022﹞19号）。12、《关于在政府采购中实施本国产品标准及相关政策的通知 》（国办发〔2025〕34号） 13、其他需要落实的政府采购政策；</w:t>
            </w:r>
          </w:p>
        </w:tc>
        <w:tc>
          <w:tcPr>
            <w:tcW w:type="dxa" w:w="1661"/>
          </w:tcPr>
          <w:p>
            <w:pPr>
              <w:pStyle w:val="null3"/>
            </w:pPr>
            <w:r>
              <w:rPr>
                <w:rFonts w:ascii="仿宋_GB2312" w:hAnsi="仿宋_GB2312" w:cs="仿宋_GB2312" w:eastAsia="仿宋_GB2312"/>
              </w:rPr>
              <w:t>14.本国产品标准的声明函.docx 中小企业声明函 残疾人福利性单位声明函 监狱企业的证明文件 13.供应商认为的其他相关证明资料.docx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1分项报价表.docx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供应商投标保证金是否符合招标文件要求</w:t>
            </w:r>
          </w:p>
        </w:tc>
        <w:tc>
          <w:tcPr>
            <w:tcW w:type="dxa" w:w="1661"/>
          </w:tcPr>
          <w:p>
            <w:pPr>
              <w:pStyle w:val="null3"/>
            </w:pPr>
            <w:r>
              <w:rPr>
                <w:rFonts w:ascii="仿宋_GB2312" w:hAnsi="仿宋_GB2312" w:cs="仿宋_GB2312" w:eastAsia="仿宋_GB2312"/>
              </w:rPr>
              <w:t>15.投标保证金缴纳凭证.docx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332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12.供应商承诺书.docx 3.商务和技术响应偏离表.docx 13.供应商认为的其他相关证明资料.docx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除演示内容外，对招标文件技术参数要求部分的所有指标，投标人应逐条进行响应。基本分（30分），完全响应招标文件要求，满足采购需求、技术参数没有负偏离，计基本分30分；“▲”技术指标不满足一项扣2分,其余技术指标不满足一项扣1分扣完为止。评审依据：相应的功能证明材料（包括但不限于软件功能界面截图、产品彩页、官网功能截图、检测报告、厂家技术白皮书等）及响应产品技术参数偏离表等；</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4技术参数证明材料.docx</w:t>
            </w:r>
          </w:p>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针对本项目提供完善的项目实施方案，包括但不限于①项目总体实施方案；②项目团队方案；③项目实施进度计划方案；④系统安装调试方案； 二、评审标准 1、完整性及可实施性：方案须全面，对评审内容中的各项要求有详细描述；切合本项目实际情况，实施步骤清晰、合理；2、针对性：方案能够紧扣项目实际情况，内容科学合理。 三、赋分依据（满分8分） ①项目总体实施方案：每完全满足一个评审标准得1分，满分2分。 ②项目团队方案：每完全满足一个评审标准得1分，满分2分。③项目实施进度计划方案：每完全满足一个评审标准得1分，满分2分。④系统安装调试方案：每完全满足一个评审标准得1分，满分2分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5实施方案.docx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一.供应商提供所投产品软件厂家著作权相关证明材料，完整提供计1分，缺项、漏项或不提供不计分。 二.根据供应商提供的产品合法来源渠道证明文件、保证所投产品均符合国家强制标准或行业标准，非假货、贴牌、翻新产品，提供相关证明资料（不限于制造厂家授权、销售协议、代理协议等资料），进行评审。 每提供（综合电子票据管理系统，签名服务器，智慧物业实训平台，业财税融合大数据审计实训平台）中1项产品的资料计0.5分；本项最高计2分。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6产品质量保证.docx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一、针对本项目有具体的售后服务方案，内容包含：①售后服务方案；②售后服务保障措施；③售后人员配置及安排；④故障处理响应时间安排计划；⑤系统升级方案及应急预案。 二、评审标准 1、完整性及可实施性：方案须全面，对评审内容中的各项要求有详细描述；切合本项目实际情况，实施步骤清晰、合理；2、针对性：方案能够紧扣项目实际情况，内容科学合理。 三、赋分依据（满分5分） ①售后服务方案：每完全满足一个评审标准得0.5分，满分1分。 ②售后服务保障措施：每完全满足一个评审标准得0.5分，满分1分。③售后人员配置及安排：每完全满足一个评审标准得0.5分，满分1分。④故障处理响应时间安排计划：每完全满足一个评审标准得0.5分，满分1分。⑤系统升级方案及应急预案：每完全满足一个评审标准得0.5分，满分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一、针对本项目有具体的培训方案，该方案包含：①培训目标及内容；②培训计划安排；③培训人员安排。 二、评审标准 1、完整性及可实施性：方案须全面，对评审内容中的各项要求有详细描述；切合本项目实际情况，实施步骤清晰、合理；2、针对性：方案能够紧扣项目实际情况，内容科学合理。 三、赋分依据（满分6分） ①培训目标及内容：每完全满足一个评审标准得1分，满分2分。 ②培训计划安排：每完全满足一个评审标准得1分，满分2分。③培训人员安排：每完全满足一个评审标准得1分，满分2分。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8.培训方案.docx</w:t>
            </w:r>
          </w:p>
        </w:tc>
      </w:tr>
      <w:tr>
        <w:tc>
          <w:tcPr>
            <w:tcW w:type="dxa" w:w="831"/>
            <w:vMerge/>
          </w:tcPr>
          <w:p/>
        </w:tc>
        <w:tc>
          <w:tcPr>
            <w:tcW w:type="dxa" w:w="1661"/>
          </w:tcPr>
          <w:p>
            <w:pPr>
              <w:pStyle w:val="null3"/>
            </w:pPr>
            <w:r>
              <w:rPr>
                <w:rFonts w:ascii="仿宋_GB2312" w:hAnsi="仿宋_GB2312" w:cs="仿宋_GB2312" w:eastAsia="仿宋_GB2312"/>
              </w:rPr>
              <w:t>产品演示</w:t>
            </w:r>
          </w:p>
        </w:tc>
        <w:tc>
          <w:tcPr>
            <w:tcW w:type="dxa" w:w="2492"/>
          </w:tcPr>
          <w:p>
            <w:pPr>
              <w:pStyle w:val="null3"/>
            </w:pPr>
            <w:r>
              <w:rPr>
                <w:rFonts w:ascii="仿宋_GB2312" w:hAnsi="仿宋_GB2312" w:cs="仿宋_GB2312" w:eastAsia="仿宋_GB2312"/>
              </w:rPr>
              <w:t>对招标文件中需要演示的内容进行演示：三套不同行业的企业实训案例。演示内容要求所演示的功能可行完整、操作流畅。依据投标人演示内容的实际情况打分，每完整提供一个行业的企业实训案例演示1项得2分，最多得6分。未提供演示或未按招标文件要求完整演示的该项不得分。 演示形式：真实软件环境演示（供应商需到开标现场 自行准备演示环境，演示时间为10分钟，）</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13.供应商认为的其他相关证明资料.docx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提供供应商2023年01月1日至今类似项目供货合同复印件加盖公章（以签订合同时间为准） 以及合同发票。每提供一份有效业绩计1分，最高计4分。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10.供应商业绩一览表.docx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9校园文化.docx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响应产品中每有一项为节能产品的得0.5分，每有一项为环境标志产品的得0.5分，供应商所投产品中每有一项产品同时为节能产品和环境标志产品的得1分，最多得1分。（须提供相应产品的国家确定的认证机构出具的、处于有效期内的节能产品、环境标志产品认证证书）</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经初审合格的供应商，其投标报价为有效报价。评标基准价：即满足采购文件要求且报价最低的为评标基准价。 其他供应商的价格分统一按照下列公式计算。 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详见附件：3.商务和技术响应偏离表.docx</w:t>
      </w:r>
    </w:p>
    <w:p>
      <w:pPr>
        <w:pStyle w:val="null3"/>
        <w:ind w:firstLine="960"/>
      </w:pPr>
      <w:r>
        <w:rPr>
          <w:rFonts w:ascii="仿宋_GB2312" w:hAnsi="仿宋_GB2312" w:cs="仿宋_GB2312" w:eastAsia="仿宋_GB2312"/>
        </w:rPr>
        <w:t>详见附件：4技术参数证明材料.docx</w:t>
      </w:r>
    </w:p>
    <w:p>
      <w:pPr>
        <w:pStyle w:val="null3"/>
        <w:ind w:firstLine="960"/>
      </w:pPr>
      <w:r>
        <w:rPr>
          <w:rFonts w:ascii="仿宋_GB2312" w:hAnsi="仿宋_GB2312" w:cs="仿宋_GB2312" w:eastAsia="仿宋_GB2312"/>
        </w:rPr>
        <w:t>详见附件：5实施方案.docx</w:t>
      </w:r>
    </w:p>
    <w:p>
      <w:pPr>
        <w:pStyle w:val="null3"/>
        <w:ind w:firstLine="960"/>
      </w:pPr>
      <w:r>
        <w:rPr>
          <w:rFonts w:ascii="仿宋_GB2312" w:hAnsi="仿宋_GB2312" w:cs="仿宋_GB2312" w:eastAsia="仿宋_GB2312"/>
        </w:rPr>
        <w:t>详见附件：6产品质量保证.docx</w:t>
      </w:r>
    </w:p>
    <w:p>
      <w:pPr>
        <w:pStyle w:val="null3"/>
        <w:ind w:firstLine="960"/>
      </w:pPr>
      <w:r>
        <w:rPr>
          <w:rFonts w:ascii="仿宋_GB2312" w:hAnsi="仿宋_GB2312" w:cs="仿宋_GB2312" w:eastAsia="仿宋_GB2312"/>
        </w:rPr>
        <w:t>详见附件：7.售后服务.docx</w:t>
      </w:r>
    </w:p>
    <w:p>
      <w:pPr>
        <w:pStyle w:val="null3"/>
        <w:ind w:firstLine="960"/>
      </w:pPr>
      <w:r>
        <w:rPr>
          <w:rFonts w:ascii="仿宋_GB2312" w:hAnsi="仿宋_GB2312" w:cs="仿宋_GB2312" w:eastAsia="仿宋_GB2312"/>
        </w:rPr>
        <w:t>详见附件：8.培训方案.docx</w:t>
      </w:r>
    </w:p>
    <w:p>
      <w:pPr>
        <w:pStyle w:val="null3"/>
        <w:ind w:firstLine="960"/>
      </w:pPr>
      <w:r>
        <w:rPr>
          <w:rFonts w:ascii="仿宋_GB2312" w:hAnsi="仿宋_GB2312" w:cs="仿宋_GB2312" w:eastAsia="仿宋_GB2312"/>
        </w:rPr>
        <w:t>详见附件：9校园文化.docx</w:t>
      </w:r>
    </w:p>
    <w:p>
      <w:pPr>
        <w:pStyle w:val="null3"/>
        <w:ind w:firstLine="960"/>
      </w:pPr>
      <w:r>
        <w:rPr>
          <w:rFonts w:ascii="仿宋_GB2312" w:hAnsi="仿宋_GB2312" w:cs="仿宋_GB2312" w:eastAsia="仿宋_GB2312"/>
        </w:rPr>
        <w:t>详见附件：10.供应商业绩一览表.docx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详见附件：12.供应商承诺书.docx</w:t>
      </w:r>
    </w:p>
    <w:p>
      <w:pPr>
        <w:pStyle w:val="null3"/>
        <w:ind w:firstLine="960"/>
      </w:pPr>
      <w:r>
        <w:rPr>
          <w:rFonts w:ascii="仿宋_GB2312" w:hAnsi="仿宋_GB2312" w:cs="仿宋_GB2312" w:eastAsia="仿宋_GB2312"/>
        </w:rPr>
        <w:t>详见附件：13.供应商认为的其他相关证明资料.docx</w:t>
      </w:r>
    </w:p>
    <w:p>
      <w:pPr>
        <w:pStyle w:val="null3"/>
        <w:ind w:firstLine="960"/>
      </w:pPr>
      <w:r>
        <w:rPr>
          <w:rFonts w:ascii="仿宋_GB2312" w:hAnsi="仿宋_GB2312" w:cs="仿宋_GB2312" w:eastAsia="仿宋_GB2312"/>
        </w:rPr>
        <w:t>详见附件：14.本国产品标准的声明函.docx</w:t>
      </w:r>
    </w:p>
    <w:p>
      <w:pPr>
        <w:pStyle w:val="null3"/>
        <w:ind w:firstLine="960"/>
      </w:pPr>
      <w:r>
        <w:rPr>
          <w:rFonts w:ascii="仿宋_GB2312" w:hAnsi="仿宋_GB2312" w:cs="仿宋_GB2312" w:eastAsia="仿宋_GB2312"/>
        </w:rPr>
        <w:t>详见附件：15.投标保证金缴纳凭证.docx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