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版本号：JJX-2026-01320260320001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陕西省长江流域渚河太白河等15条跨市河流水量分配方案编制项目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JJX-2026-013</w:t>
      </w:r>
      <w:r>
        <w:br/>
      </w:r>
      <w:r>
        <w:br/>
      </w:r>
      <w:r>
        <w:br/>
      </w:r>
    </w:p>
    <w:p>
      <w:pPr>
        <w:pStyle w:val="null3"/>
        <w:jc w:val="center"/>
        <w:outlineLvl w:val="2"/>
      </w:pPr>
      <w:r>
        <w:rPr>
          <w:rFonts w:ascii="仿宋_GB2312" w:hAnsi="仿宋_GB2312" w:cs="仿宋_GB2312" w:eastAsia="仿宋_GB2312"/>
          <w:sz w:val="28"/>
          <w:b/>
        </w:rPr>
        <w:t>陕西省三门峡库区管理局机关</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陕西省三门峡库区管理局机关</w:t>
      </w:r>
      <w:r>
        <w:rPr>
          <w:rFonts w:ascii="仿宋_GB2312" w:hAnsi="仿宋_GB2312" w:cs="仿宋_GB2312" w:eastAsia="仿宋_GB2312"/>
        </w:rPr>
        <w:t>委托，拟对</w:t>
      </w:r>
      <w:r>
        <w:rPr>
          <w:rFonts w:ascii="仿宋_GB2312" w:hAnsi="仿宋_GB2312" w:cs="仿宋_GB2312" w:eastAsia="仿宋_GB2312"/>
        </w:rPr>
        <w:t>陕西省长江流域渚河太白河等15条跨市河流水量分配方案编制项目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JJX-2026-013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陕西省长江流域渚河太白河等15条跨市河流水量分配方案编制项目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15条跨市河流开展详细的调研；分析流域社会经济水资源开发利用现状及存在问题，确定水量分配依据、原则与方法；开展流域内2030水平年需水量预测；提出2030水平年流城内各地市水量分配方案。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陕西省三门峡库区管理局机关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西安市未央区文景路中段202号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夏天彬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029一83665211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陕西省西安市曲江新区雁南五路谛杰国际广场5楼01室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尹福瑛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15309133872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p>
          <w:p>
            <w:pPr>
              <w:pStyle w:val="null3"/>
            </w:pPr>
            <w:r>
              <w:rPr>
                <w:rFonts w:ascii="仿宋_GB2312" w:hAnsi="仿宋_GB2312" w:cs="仿宋_GB2312" w:eastAsia="仿宋_GB2312"/>
              </w:rPr>
              <w:t>采购包2：480,000.00元</w:t>
            </w:r>
          </w:p>
          <w:p>
            <w:pPr>
              <w:pStyle w:val="null3"/>
            </w:pPr>
            <w:r>
              <w:rPr>
                <w:rFonts w:ascii="仿宋_GB2312" w:hAnsi="仿宋_GB2312" w:cs="仿宋_GB2312" w:eastAsia="仿宋_GB2312"/>
              </w:rPr>
              <w:t>采购包3：600,000.00元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服务类费率收取代理服务费。由中标人在中标结果发布后一次性向采购代理机构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陕西省三门峡库区管理局机关</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陕西省三门峡库区管理局机关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陕西省三门峡库区管理局机关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联系人：尹福瑛</w:t>
      </w:r>
    </w:p>
    <w:p>
      <w:pPr>
        <w:pStyle w:val="null3"/>
      </w:pPr>
      <w:r>
        <w:rPr>
          <w:rFonts w:ascii="仿宋_GB2312" w:hAnsi="仿宋_GB2312" w:cs="仿宋_GB2312" w:eastAsia="仿宋_GB2312"/>
        </w:rPr>
        <w:t>联系电话：15309133872</w:t>
      </w:r>
    </w:p>
    <w:p>
      <w:pPr>
        <w:pStyle w:val="null3"/>
      </w:pPr>
      <w:r>
        <w:rPr>
          <w:rFonts w:ascii="仿宋_GB2312" w:hAnsi="仿宋_GB2312" w:cs="仿宋_GB2312" w:eastAsia="仿宋_GB2312"/>
        </w:rPr>
        <w:t>地址：陕西省西安市曲江新区雁南五路谛杰国际广场5楼01室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15条跨市河流开展详细的调研；分析流域社会经济水资源开发利用现状及存在问题，确定水量分配依据、原则与方法；开展流域内2030水平年需水量预测；提出2030水平年流城内各地市水量分配方案。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陕西省长江流域渚河太白河等 15条跨市河流水量分配方案编制项目一标段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陕西省长江流域渚河太白河等 15条跨市河流水量分配方案编制项目二标段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陕西省长江流域渚河太白河等 15条跨市河流水量分配方案编制项目三标段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标的名称：陕西省长江流域渚河太白河等 15条跨市河流水量分配方案编制项目一标段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完成太白河、蒲河、牛羊河、富水河、牟子河、清溪河共</w:t>
            </w:r>
            <w:r>
              <w:rPr>
                <w:rFonts w:ascii="仿宋_GB2312" w:hAnsi="仿宋_GB2312" w:cs="仿宋_GB2312" w:eastAsia="仿宋_GB2312"/>
                <w:sz w:val="24"/>
                <w:b/>
              </w:rPr>
              <w:t>6</w:t>
            </w:r>
            <w:r>
              <w:rPr>
                <w:rFonts w:ascii="仿宋_GB2312" w:hAnsi="仿宋_GB2312" w:cs="仿宋_GB2312" w:eastAsia="仿宋_GB2312"/>
                <w:sz w:val="24"/>
                <w:b/>
              </w:rPr>
              <w:t>条跨市河流水量分配方案编制</w:t>
            </w:r>
            <w:r>
              <w:rPr>
                <w:rFonts w:ascii="仿宋_GB2312" w:hAnsi="仿宋_GB2312" w:cs="仿宋_GB2312" w:eastAsia="仿宋_GB2312"/>
                <w:sz w:val="24"/>
                <w:b/>
              </w:rPr>
              <w:t>,包含对应河流方案以及编制说明成果报告、附图。主要建设内容为：对</w:t>
            </w:r>
            <w:r>
              <w:rPr>
                <w:rFonts w:ascii="仿宋_GB2312" w:hAnsi="仿宋_GB2312" w:cs="仿宋_GB2312" w:eastAsia="仿宋_GB2312"/>
                <w:sz w:val="24"/>
                <w:b/>
              </w:rPr>
              <w:t>6</w:t>
            </w:r>
            <w:r>
              <w:rPr>
                <w:rFonts w:ascii="仿宋_GB2312" w:hAnsi="仿宋_GB2312" w:cs="仿宋_GB2312" w:eastAsia="仿宋_GB2312"/>
                <w:sz w:val="24"/>
                <w:b/>
              </w:rPr>
              <w:t>条跨市河流开展详细的调研，收集整理流域内</w:t>
            </w:r>
            <w:r>
              <w:rPr>
                <w:rFonts w:ascii="仿宋_GB2312" w:hAnsi="仿宋_GB2312" w:cs="仿宋_GB2312" w:eastAsia="仿宋_GB2312"/>
                <w:sz w:val="24"/>
                <w:b/>
              </w:rPr>
              <w:t>3</w:t>
            </w:r>
            <w:r>
              <w:rPr>
                <w:rFonts w:ascii="仿宋_GB2312" w:hAnsi="仿宋_GB2312" w:cs="仿宋_GB2312" w:eastAsia="仿宋_GB2312"/>
                <w:sz w:val="24"/>
                <w:b/>
              </w:rPr>
              <w:t>市</w:t>
            </w:r>
            <w:r>
              <w:rPr>
                <w:rFonts w:ascii="仿宋_GB2312" w:hAnsi="仿宋_GB2312" w:cs="仿宋_GB2312" w:eastAsia="仿宋_GB2312"/>
                <w:sz w:val="24"/>
                <w:b/>
              </w:rPr>
              <w:t>9</w:t>
            </w:r>
            <w:r>
              <w:rPr>
                <w:rFonts w:ascii="仿宋_GB2312" w:hAnsi="仿宋_GB2312" w:cs="仿宋_GB2312" w:eastAsia="仿宋_GB2312"/>
                <w:sz w:val="24"/>
                <w:b/>
              </w:rPr>
              <w:t>县（区）的统计年鉴、水资源公报、综合规划，现状年及规划水利工程、污水处理厂，水文站等资料；分析流域社会经济、水资源开发利用现状及存在问题；确定水量分配依据、原则与方法；开展流域内</w:t>
            </w:r>
            <w:r>
              <w:rPr>
                <w:rFonts w:ascii="仿宋_GB2312" w:hAnsi="仿宋_GB2312" w:cs="仿宋_GB2312" w:eastAsia="仿宋_GB2312"/>
                <w:sz w:val="24"/>
                <w:b/>
              </w:rPr>
              <w:t>2030水平年需水量预测，分析可供水量、供需平衡，提出2030水平年流域内各地市水量分配方案，并进行合理性分析；结合河流实际情况，选取主要控制断面，分析计算主要断面控制指标；提出保障水量分配方案实施的相关措施，绘制相关的水量分配方案示意图</w:t>
            </w:r>
            <w:r>
              <w:rPr>
                <w:rFonts w:ascii="仿宋_GB2312" w:hAnsi="仿宋_GB2312" w:cs="仿宋_GB2312" w:eastAsia="仿宋_GB2312"/>
                <w:sz w:val="24"/>
                <w:b/>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标的名称：陕西省长江流域渚河太白河等 15条跨市河流水量分配方案编制项目二标段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完成任河、麻柳河、朱溪河、渚河共</w:t>
            </w:r>
            <w:r>
              <w:rPr>
                <w:rFonts w:ascii="仿宋_GB2312" w:hAnsi="仿宋_GB2312" w:cs="仿宋_GB2312" w:eastAsia="仿宋_GB2312"/>
                <w:sz w:val="24"/>
                <w:b/>
              </w:rPr>
              <w:t>4</w:t>
            </w:r>
            <w:r>
              <w:rPr>
                <w:rFonts w:ascii="仿宋_GB2312" w:hAnsi="仿宋_GB2312" w:cs="仿宋_GB2312" w:eastAsia="仿宋_GB2312"/>
                <w:sz w:val="24"/>
                <w:b/>
              </w:rPr>
              <w:t>条跨市河流水量分配方案编制</w:t>
            </w:r>
            <w:r>
              <w:rPr>
                <w:rFonts w:ascii="仿宋_GB2312" w:hAnsi="仿宋_GB2312" w:cs="仿宋_GB2312" w:eastAsia="仿宋_GB2312"/>
                <w:sz w:val="24"/>
                <w:b/>
              </w:rPr>
              <w:t>,包含对应河流方案以及编制说明成果报告、附图。主要建设内容为：对</w:t>
            </w:r>
            <w:r>
              <w:rPr>
                <w:rFonts w:ascii="仿宋_GB2312" w:hAnsi="仿宋_GB2312" w:cs="仿宋_GB2312" w:eastAsia="仿宋_GB2312"/>
                <w:sz w:val="24"/>
                <w:b/>
              </w:rPr>
              <w:t>4</w:t>
            </w:r>
            <w:r>
              <w:rPr>
                <w:rFonts w:ascii="仿宋_GB2312" w:hAnsi="仿宋_GB2312" w:cs="仿宋_GB2312" w:eastAsia="仿宋_GB2312"/>
                <w:sz w:val="24"/>
                <w:b/>
              </w:rPr>
              <w:t>条跨市河流开展详细的调研，收集整理流域内</w:t>
            </w:r>
            <w:r>
              <w:rPr>
                <w:rFonts w:ascii="仿宋_GB2312" w:hAnsi="仿宋_GB2312" w:cs="仿宋_GB2312" w:eastAsia="仿宋_GB2312"/>
                <w:sz w:val="24"/>
                <w:b/>
              </w:rPr>
              <w:t>2</w:t>
            </w:r>
            <w:r>
              <w:rPr>
                <w:rFonts w:ascii="仿宋_GB2312" w:hAnsi="仿宋_GB2312" w:cs="仿宋_GB2312" w:eastAsia="仿宋_GB2312"/>
                <w:sz w:val="24"/>
                <w:b/>
              </w:rPr>
              <w:t>市</w:t>
            </w:r>
            <w:r>
              <w:rPr>
                <w:rFonts w:ascii="仿宋_GB2312" w:hAnsi="仿宋_GB2312" w:cs="仿宋_GB2312" w:eastAsia="仿宋_GB2312"/>
                <w:sz w:val="24"/>
                <w:b/>
              </w:rPr>
              <w:t>2</w:t>
            </w:r>
            <w:r>
              <w:rPr>
                <w:rFonts w:ascii="仿宋_GB2312" w:hAnsi="仿宋_GB2312" w:cs="仿宋_GB2312" w:eastAsia="仿宋_GB2312"/>
                <w:sz w:val="24"/>
                <w:b/>
              </w:rPr>
              <w:t>县（区）的统计年鉴、水资源公报、综合规划，现状年及规划水利工程、污水处理厂，水文站等资料；分析流域社会经济、水资源开发利用现状及存在问题；确定水量分配依据、原则与方法；开展流域内</w:t>
            </w:r>
            <w:r>
              <w:rPr>
                <w:rFonts w:ascii="仿宋_GB2312" w:hAnsi="仿宋_GB2312" w:cs="仿宋_GB2312" w:eastAsia="仿宋_GB2312"/>
                <w:sz w:val="24"/>
                <w:b/>
              </w:rPr>
              <w:t>2030水平年需水量预测，分析可供水量、供需平衡，提出2030水平年流域内各地市水量分配方案，并进行合理性分析；结合河流实际情况，选取主要控制断面，分析计算主要断面控制指标；提出保障水量分配方案实施的相关措施，绘制相关的水量分配方案示意图</w:t>
            </w:r>
            <w:r>
              <w:rPr>
                <w:rFonts w:ascii="仿宋_GB2312" w:hAnsi="仿宋_GB2312" w:cs="仿宋_GB2312" w:eastAsia="仿宋_GB2312"/>
                <w:sz w:val="24"/>
                <w:b/>
              </w:rPr>
              <w:t>。</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标的名称：陕西省长江流域渚河太白河等 15条跨市河流水量分配方案编制项目三标段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完成东川河、西川河、月河、达仁河、洛驾河共</w:t>
            </w:r>
            <w:r>
              <w:rPr>
                <w:rFonts w:ascii="仿宋_GB2312" w:hAnsi="仿宋_GB2312" w:cs="仿宋_GB2312" w:eastAsia="仿宋_GB2312"/>
                <w:sz w:val="24"/>
                <w:b/>
              </w:rPr>
              <w:t>5</w:t>
            </w:r>
            <w:r>
              <w:rPr>
                <w:rFonts w:ascii="仿宋_GB2312" w:hAnsi="仿宋_GB2312" w:cs="仿宋_GB2312" w:eastAsia="仿宋_GB2312"/>
                <w:sz w:val="24"/>
                <w:b/>
              </w:rPr>
              <w:t>条跨市河流水量分配方案编制</w:t>
            </w:r>
            <w:r>
              <w:rPr>
                <w:rFonts w:ascii="仿宋_GB2312" w:hAnsi="仿宋_GB2312" w:cs="仿宋_GB2312" w:eastAsia="仿宋_GB2312"/>
                <w:sz w:val="24"/>
                <w:b/>
              </w:rPr>
              <w:t>,包含对应河流方案以及编制说明成果报告、附图。主要建设内容为：对</w:t>
            </w:r>
            <w:r>
              <w:rPr>
                <w:rFonts w:ascii="仿宋_GB2312" w:hAnsi="仿宋_GB2312" w:cs="仿宋_GB2312" w:eastAsia="仿宋_GB2312"/>
                <w:sz w:val="24"/>
                <w:b/>
              </w:rPr>
              <w:t>5</w:t>
            </w:r>
            <w:r>
              <w:rPr>
                <w:rFonts w:ascii="仿宋_GB2312" w:hAnsi="仿宋_GB2312" w:cs="仿宋_GB2312" w:eastAsia="仿宋_GB2312"/>
                <w:sz w:val="24"/>
                <w:b/>
              </w:rPr>
              <w:t>条跨市河流开展详细的调研，收集整理流域内</w:t>
            </w:r>
            <w:r>
              <w:rPr>
                <w:rFonts w:ascii="仿宋_GB2312" w:hAnsi="仿宋_GB2312" w:cs="仿宋_GB2312" w:eastAsia="仿宋_GB2312"/>
                <w:sz w:val="24"/>
                <w:b/>
              </w:rPr>
              <w:t>2</w:t>
            </w:r>
            <w:r>
              <w:rPr>
                <w:rFonts w:ascii="仿宋_GB2312" w:hAnsi="仿宋_GB2312" w:cs="仿宋_GB2312" w:eastAsia="仿宋_GB2312"/>
                <w:sz w:val="24"/>
                <w:b/>
              </w:rPr>
              <w:t>市</w:t>
            </w:r>
            <w:r>
              <w:rPr>
                <w:rFonts w:ascii="仿宋_GB2312" w:hAnsi="仿宋_GB2312" w:cs="仿宋_GB2312" w:eastAsia="仿宋_GB2312"/>
                <w:sz w:val="24"/>
                <w:b/>
              </w:rPr>
              <w:t>4</w:t>
            </w:r>
            <w:r>
              <w:rPr>
                <w:rFonts w:ascii="仿宋_GB2312" w:hAnsi="仿宋_GB2312" w:cs="仿宋_GB2312" w:eastAsia="仿宋_GB2312"/>
                <w:sz w:val="24"/>
                <w:b/>
              </w:rPr>
              <w:t>县（区）的统计年鉴、水资源公报、综合规划，现状年及规划水利工程、污水处理厂，水文站等资料；分析流域社会经济、水资源开发利用现状及存在问题；确定水量分配依据、原则与方法；开展流域内</w:t>
            </w:r>
            <w:r>
              <w:rPr>
                <w:rFonts w:ascii="仿宋_GB2312" w:hAnsi="仿宋_GB2312" w:cs="仿宋_GB2312" w:eastAsia="仿宋_GB2312"/>
                <w:sz w:val="24"/>
                <w:b/>
              </w:rPr>
              <w:t>2030水平年需水量预测，分析可供水量、供需平衡，提出2030水平年流域内各地市水量分配方案，并进行合理性分析；结合河流实际情况，选取主要控制断面，分析计算主要断面控制指标；提出保障水量分配方案实施的相关措施，绘制相关的水量分配方案示意图</w:t>
            </w:r>
            <w:r>
              <w:rPr>
                <w:rFonts w:ascii="仿宋_GB2312" w:hAnsi="仿宋_GB2312" w:cs="仿宋_GB2312" w:eastAsia="仿宋_GB2312"/>
                <w:sz w:val="24"/>
                <w:b/>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供应商应组建专业的服务团队，负责对项目实施过程的控制及管理，明确项目负责人及技术人员。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供应商应组建专业的服务团队，负责对项目实施过程的控制及管理，明确项目负责人及技术人员。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供应商应组建专业的服务团队，负责对项目实施过程的控制及管理，明确项目负责人及技术人员。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供应商应配置履行服务所需的设施设备，以便提高服务质量及效率。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自合同签订之日起至2026年12月31日前完成竣工验收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自合同签订之日起至2026年12月31日前完成竣工验收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自合同签订之日起至2026年12月31日前完成竣工验收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1、满足现行国家相关标准、行业标准及采购人要求；成交供应商对最终的服务质量负完全责任。 2、验收依据：（1）合同；（2）国家有关的验收标准及规范；（3）采购文件、响应文件。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1、满足现行国家相关标准、行业标准及采购人要求；成交供应商对最终的服务质量负完全责任。 2、验收依据：（1）合同；（2）国家有关的验收标准及规范；（3）采购文件、响应文件。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1、满足现行国家相关标准、行业标准及采购人要求；成交供应商对最终的服务质量负完全责任。 2、验收依据：（1）合同；（2）国家有关的验收标准及规范；（3）采购文件、响应文件。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交付成果后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交付成果后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交付成果后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1、本项目实际采购人为陕西省江河水库工作中心，成交供应商最终与陕西省江河水库工作中心签订服务合同； 2、成交供应商在结果公示结束后，需提供系统签章后的磋商响应文件，双面打印两套，封皮加盖单位鲜章，送至采购代理机构。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能力的法人、其他组织或自然人，并出具合法有效的营业执照或事业单位法人证书等国家规定的相关证明，自然人参与的提供其身份证明；2、有依法缴纳税收和社会保障资金的良好记录：提供2025年3月1日至今任意一个月依法缴纳税收和社会保障资金的相关材料；3、具备履行合同所必需的设备和专业技术能力的证明材料：提供承诺书；4、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或2025年度审计报告（审计报告须具有注册会计师行业统一监管平台（http://acc.mof.gov.cn）赋予的验证码），（成立时间至开标时间不足一年的可提供成立后任意时段的资产负债表）或2025年12月1日至今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能力的法人、其他组织或自然人，并出具合法有效的营业执照或事业单位法人证书等国家规定的相关证明，自然人参与的提供其身份证明；2、有依法缴纳税收和社会保障资金的良好记录：提供2025年3月1日至今任意一个月依法缴纳税收和社会保障资金的相关材料；3、具备履行合同所必需的设备和专业技术能力的证明材料：提供承诺书；4、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或2025年度审计报告（审计报告须具有注册会计师行业统一监管平台（http://acc.mof.gov.cn）赋予的验证码），（成立时间至开标时间不足一年的可提供成立后任意时段的资产负债表）或2025年12月1日至今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能力的法人、其他组织或自然人，并出具合法有效的营业执照或事业单位法人证书等国家规定的相关证明，自然人参与的提供其身份证明；2、有依法缴纳税收和社会保障资金的良好记录：提供2025年3月1日至今任意一个月依法缴纳税收和社会保障资金的相关材料；3、具备履行合同所必需的设备和专业技术能力的证明材料：提供承诺书；4、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或2025年度审计报告（审计报告须具有注册会计师行业统一监管平台（http://acc.mof.gov.cn）赋予的验证码），（成立时间至开标时间不足一年的可提供成立后任意时段的资产负债表）或2025年12月1日至今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供应商名称和营业执照一致。</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符合竞争性磋商文件规定签署盖章要求。</w:t>
            </w:r>
          </w:p>
        </w:tc>
        <w:tc>
          <w:tcPr>
            <w:tcW w:type="dxa" w:w="1661"/>
          </w:tcPr>
          <w:p>
            <w:pPr>
              <w:pStyle w:val="null3"/>
            </w:pPr>
            <w:r>
              <w:rPr>
                <w:rFonts w:ascii="仿宋_GB2312" w:hAnsi="仿宋_GB2312" w:cs="仿宋_GB2312" w:eastAsia="仿宋_GB2312"/>
              </w:rPr>
              <w:t>响应文件封面 分项报价表.docx 供应商应提交的相关资格证明材料.docx 中小企业声明函 残疾人福利性单位声明函 标的清单 报价表 响应函 商务偏离表.docx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唯一报价，并未超出预算金额。</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自合同签订之日起至2026年12月31日前完成竣工验收。</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对竞争性磋商文件的响应程度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供应商名称和营业执照一致。</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符合竞争性磋商文件规定签署盖章要求。</w:t>
            </w:r>
          </w:p>
        </w:tc>
        <w:tc>
          <w:tcPr>
            <w:tcW w:type="dxa" w:w="1661"/>
          </w:tcPr>
          <w:p>
            <w:pPr>
              <w:pStyle w:val="null3"/>
            </w:pPr>
            <w:r>
              <w:rPr>
                <w:rFonts w:ascii="仿宋_GB2312" w:hAnsi="仿宋_GB2312" w:cs="仿宋_GB2312" w:eastAsia="仿宋_GB2312"/>
              </w:rPr>
              <w:t>响应文件封面 分项报价表.docx 供应商应提交的相关资格证明材料.docx 中小企业声明函 残疾人福利性单位声明函 标的清单 报价表 响应函 商务偏离表.docx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唯一报价，并未超出预算金额。</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自合同签订之日起至2026年12月31日前完成竣工验收。</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对竞争性磋商文件的响应程度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供应商名称和营业执照一致。</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符合竞争性磋商文件规定签署盖章要求。</w:t>
            </w:r>
          </w:p>
        </w:tc>
        <w:tc>
          <w:tcPr>
            <w:tcW w:type="dxa" w:w="1661"/>
          </w:tcPr>
          <w:p>
            <w:pPr>
              <w:pStyle w:val="null3"/>
            </w:pPr>
            <w:r>
              <w:rPr>
                <w:rFonts w:ascii="仿宋_GB2312" w:hAnsi="仿宋_GB2312" w:cs="仿宋_GB2312" w:eastAsia="仿宋_GB2312"/>
              </w:rPr>
              <w:t>响应文件封面 分项报价表.docx 供应商应提交的相关资格证明材料.docx 中小企业声明函 残疾人福利性单位声明函 标的清单 报价表 响应函 商务偏离表.docx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唯一报价，并未超出预算金额。</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自合同签订之日起至2026年12月31日前完成竣工验收。</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对竞争性磋商文件的响应程度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评审内容：供应商提供针对本项目制定的总体方案，内容包含但不限于：①项目需求理解；②进度计划安排；③技术组织保障措施；④服务按时完成保障措施。 方案完整，完全包含以上4项且满足实际工作需求的得16分，每缺少一项扣4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供应商提供针对本项目的质量保障措施方案，内容包括但不限于：①质量管理体系；②质量保障措施；③质量控制手段；④突发情况补救措施；⑤成果保障措施等。方案完整，完全包含以上5项且满足实际工作需求的得15分，每缺少一项扣3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项目进度及保障措施</w:t>
            </w:r>
          </w:p>
        </w:tc>
        <w:tc>
          <w:tcPr>
            <w:tcW w:type="dxa" w:w="2492"/>
          </w:tcPr>
          <w:p>
            <w:pPr>
              <w:pStyle w:val="null3"/>
            </w:pPr>
            <w:r>
              <w:rPr>
                <w:rFonts w:ascii="仿宋_GB2312" w:hAnsi="仿宋_GB2312" w:cs="仿宋_GB2312" w:eastAsia="仿宋_GB2312"/>
              </w:rPr>
              <w:t>评审内容：供应商提供针对本项目的进度保障措施方案，内容包括但不限于：①项目实施进度目标分析；②提供合理的工作计划及时间节点；③项目进度保障措施等。方案完整，完全包含以上3项且满足实际工作需求的得15分，每缺少一项扣5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项目重难点分析与解决方案</w:t>
            </w:r>
          </w:p>
        </w:tc>
        <w:tc>
          <w:tcPr>
            <w:tcW w:type="dxa" w:w="2492"/>
          </w:tcPr>
          <w:p>
            <w:pPr>
              <w:pStyle w:val="null3"/>
            </w:pPr>
            <w:r>
              <w:rPr>
                <w:rFonts w:ascii="仿宋_GB2312" w:hAnsi="仿宋_GB2312" w:cs="仿宋_GB2312" w:eastAsia="仿宋_GB2312"/>
              </w:rPr>
              <w:t>评审内容：供应商提供针对本项目的项目重难点分析与解决方案，内容包括但不限于：①重、难点分析；②解决措施等。方案完整，完全包含以上2项且满足实际工作需求的得8分，每缺少一项扣4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评审内容：供应商提供针对本项目制定专项安全保密措施方案，内容包括但不限于：①安全保密实施方案；②安全保密承诺等。方案完整，完全包含以上2项且满足实际工作需求的得5分，每缺少一项扣2.5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评审内容：供应商提供针对本项目服务承诺，内容包括但不限于：①对本项目进度、时限、成果文件质量等做出承诺。②对服务时限内团队稳定性、人员到位情况等相关内容做出承诺。 承诺内容完整，完全包含以上2项且满足实际工作需求的得5分，每缺少一项扣2.5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评审内容：供应商根据本项目采购内容及技术要求，拟投入本项目团队人员配备清单，内容包括但不限于：①人员岗位职责、分工及工作内容；②人员基本情况；③人员工作经验。满分6分。有一项内容有缺项的扣2分，每有一项内容中有缺陷，指项目需求不匹配或不能满足项目实施要求及其他不利于项目实施的扣1分，扣完为止。 说明：未提供不得分。 备注：项目组人员须提供人员与本单位签订的劳动合同或在本单位缴纳的养老保险证明，职称证、学历证、工作经验证明等资料。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项目团队实力</w:t>
            </w:r>
          </w:p>
        </w:tc>
        <w:tc>
          <w:tcPr>
            <w:tcW w:type="dxa" w:w="2492"/>
          </w:tcPr>
          <w:p>
            <w:pPr>
              <w:pStyle w:val="null3"/>
            </w:pPr>
            <w:r>
              <w:rPr>
                <w:rFonts w:ascii="仿宋_GB2312" w:hAnsi="仿宋_GB2312" w:cs="仿宋_GB2312" w:eastAsia="仿宋_GB2312"/>
              </w:rPr>
              <w:t>1、供应商针对本项目拟派的项目负责人具有与本项目相关专业高级职称的得4分，中级职称得2分，中级职称以下不得分；2、项目团队中（除项目负责人外）具有与本项目相关专业高级职称人员每提供一个得1分，中级职称人员每提供一个得0.5分。此项最高6分。不提供不得分。(需提供证书复印件加盖单位公章，同时需提供人员与本单位签订的劳动合同或在本单位缴纳的养老保险证明、职称证等资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供应商提供自2023年3月至今（以签订合同时间为准）的类似合同，需提供合同复印件，每提供一份得2分，最高得10分。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 2.磋商报价得分=（磋商基准价/最终磋商报价）×10的公式计算得分。 3.磋商报价不完整的，不进入评标标准价的计算，本项得0分。 4.经评磋商小组一致认定，超过预算金额,其响应将被拒绝。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评审内容：供应商提供针对本项目制定的总体方案，内容包含但不限于：①项目需求理解；②进度计划安排；③技术组织保障措施；④服务按时完成保障措施。 方案完整，完全包含以上4项且满足实际工作需求的得16分，每缺少一项扣4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供应商提供针对本项目的质量保障措施方案，内容包括但不限于：①质量管理体系；②质量保障措施；③质量控制手段；④突发情况补救措施；⑤成果保障措施等。方案完整，完全包含以上5项且满足实际工作需求的得15分，每缺少一项扣3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项目进度及保障措施</w:t>
            </w:r>
          </w:p>
        </w:tc>
        <w:tc>
          <w:tcPr>
            <w:tcW w:type="dxa" w:w="2492"/>
          </w:tcPr>
          <w:p>
            <w:pPr>
              <w:pStyle w:val="null3"/>
            </w:pPr>
            <w:r>
              <w:rPr>
                <w:rFonts w:ascii="仿宋_GB2312" w:hAnsi="仿宋_GB2312" w:cs="仿宋_GB2312" w:eastAsia="仿宋_GB2312"/>
              </w:rPr>
              <w:t>评审内容：供应商提供针对本项目的进度保障措施方案，内容包括但不限于：①项目实施进度目标分析；②提供合理的工作计划及时间节点；③项目进度保障措施等。方案完整，完全包含以上3项且满足实际工作需求的得15分，每缺少一项扣5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项目重难点分析与解决方案</w:t>
            </w:r>
          </w:p>
        </w:tc>
        <w:tc>
          <w:tcPr>
            <w:tcW w:type="dxa" w:w="2492"/>
          </w:tcPr>
          <w:p>
            <w:pPr>
              <w:pStyle w:val="null3"/>
            </w:pPr>
            <w:r>
              <w:rPr>
                <w:rFonts w:ascii="仿宋_GB2312" w:hAnsi="仿宋_GB2312" w:cs="仿宋_GB2312" w:eastAsia="仿宋_GB2312"/>
              </w:rPr>
              <w:t>评审内容：供应商提供针对本项目的项目重难点分析与解决方案，内容包括但不限于：①重、难点分析；②解决措施等。方案完整，完全包含以上2项且满足实际工作需求的得8分，每缺少一项扣4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评审内容：供应商提供针对本项目制定专项安全保密措施方案，内容包括但不限于：①安全保密实施方案；②安全保密承诺等。方案完整，完全包含以上2项且满足实际工作需求的得5分，每缺少一项扣2.5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评审内容：供应商提供针对本项目服务承诺，内容包括但不限于：①对本项目进度、时限、成果文件质量等做出承诺。②对服务时限内团队稳定性、人员到位情况等相关内容做出承诺。 承诺内容完整，完全包含以上2项且满足实际工作需求的得5分，每缺少一项扣2.5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评审内容：供应商根据本项目采购内容及技术要求，拟投入本项目团队人员配备清单，内容包括但不限于：①人员岗位职责、分工及工作内容；②人员基本情况；③人员工作经验。满分6分。有一项内容有缺项的扣2分，每有一项内容中有缺陷，指项目需求不匹配或不能满足项目实施要求及其他不利于项目实施的扣1分，扣完为止。 说明：未提供不得分。 备注：项目组人员须提供人员与本单位签订的劳动合同或在本单位缴纳的养老保险证明，职称证、学历证、工作经验证明等资料。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项目团队实力</w:t>
            </w:r>
          </w:p>
        </w:tc>
        <w:tc>
          <w:tcPr>
            <w:tcW w:type="dxa" w:w="2492"/>
          </w:tcPr>
          <w:p>
            <w:pPr>
              <w:pStyle w:val="null3"/>
            </w:pPr>
            <w:r>
              <w:rPr>
                <w:rFonts w:ascii="仿宋_GB2312" w:hAnsi="仿宋_GB2312" w:cs="仿宋_GB2312" w:eastAsia="仿宋_GB2312"/>
              </w:rPr>
              <w:t>1、供应商针对本项目拟派的项目负责人具有与本项目相关专业高级职称的得4分，中级职称得2分，中级职称以下不得分；2、项目团队中（除项目负责人外）具有与本项目相关专业高级职称人员每提供一个得1分，中级职称人员每提供一个得0.5分。此项最高6分。不提供不得分。(需提供证书复印件加盖单位公章，同时需提供人员与本单位签订的劳动合同或在本单位缴纳的养老保险证明、职称证等资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供应商提供自2023年3月至今（以签订合同时间为准）的类似合同，需提供合同复印件，每提供一份得2分，最高得10分。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 2.磋商报价得分=（磋商基准价/最终磋商报价）×10的公式计算得分。 3.磋商报价不完整的，不进入评标标准价的计算，本项得0分。 4.经评磋商小组一致认定，超过预算金额,其响应将被拒绝。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评审内容：供应商提供针对本项目制定的总体方案，内容包含但不限于：①项目需求理解；②进度计划安排；③技术组织保障措施；④服务按时完成保障措施。 方案完整，完全包含以上4项且满足实际工作需求的得16分，每缺少一项扣4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供应商提供针对本项目的质量保障措施方案，内容包括但不限于：①质量管理体系；②质量保障措施；③质量控制手段；④突发情况补救措施；⑤成果保障措施等。方案完整，完全包含以上5项且满足实际工作需求的得15分，每缺少一项扣3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项目进度及保障措施</w:t>
            </w:r>
          </w:p>
        </w:tc>
        <w:tc>
          <w:tcPr>
            <w:tcW w:type="dxa" w:w="2492"/>
          </w:tcPr>
          <w:p>
            <w:pPr>
              <w:pStyle w:val="null3"/>
            </w:pPr>
            <w:r>
              <w:rPr>
                <w:rFonts w:ascii="仿宋_GB2312" w:hAnsi="仿宋_GB2312" w:cs="仿宋_GB2312" w:eastAsia="仿宋_GB2312"/>
              </w:rPr>
              <w:t>评审内容：供应商提供针对本项目的进度保障措施方案，内容包括但不限于：①项目实施进度目标分析；②提供合理的工作计划及时间节点；③项目进度保障措施等。方案完整，完全包含以上3项且满足实际工作需求的得15分，每缺少一项扣5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项目重难点分析与解决方案</w:t>
            </w:r>
          </w:p>
        </w:tc>
        <w:tc>
          <w:tcPr>
            <w:tcW w:type="dxa" w:w="2492"/>
          </w:tcPr>
          <w:p>
            <w:pPr>
              <w:pStyle w:val="null3"/>
            </w:pPr>
            <w:r>
              <w:rPr>
                <w:rFonts w:ascii="仿宋_GB2312" w:hAnsi="仿宋_GB2312" w:cs="仿宋_GB2312" w:eastAsia="仿宋_GB2312"/>
              </w:rPr>
              <w:t>评审内容：供应商提供针对本项目的项目重难点分析与解决方案，内容包括但不限于：①重、难点分析；②解决措施等。方案完整，完全包含以上2项且满足实际工作需求的得8分，每缺少一项扣4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评审内容：供应商提供针对本项目制定专项安全保密措施方案，内容包括但不限于：①安全保密实施方案；②安全保密承诺等。方案完整，完全包含以上2项且满足实际工作需求的得5分，每缺少一项扣2.5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评审内容：供应商提供针对本项目服务承诺，内容包括但不限于：①对本项目进度、时限、成果文件质量等做出承诺。②对服务时限内团队稳定性、人员到位情况等相关内容做出承诺。 承诺内容完整，完全包含以上2项且满足实际工作需求的得5分，每缺少一项扣2.5分，每有一项缺陷（缺陷是指不适用项目实际情况、凭空编造、存在逻辑漏洞、科学原理错误、不可能实现的夸大情形以及涉及的规范、标准与本项目要求不一致等）扣1分，扣完为止。说明：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评审内容：供应商根据本项目采购内容及技术要求，拟投入本项目团队人员配备清单，内容包括但不限于：①人员岗位职责、分工及工作内容；②人员基本情况；③人员工作经验。满分6分。有一项内容有缺项的扣2分，每有一项内容中有缺陷，指项目需求不匹配或不能满足项目实施要求及其他不利于项目实施的扣1分，扣完为止。 说明：未提供不得分。 备注：项目组人员须提供人员与本单位签订的劳动合同或在本单位缴纳的养老保险证明，职称证、学历证、工作经验证明等资料。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项目团队实力</w:t>
            </w:r>
          </w:p>
        </w:tc>
        <w:tc>
          <w:tcPr>
            <w:tcW w:type="dxa" w:w="2492"/>
          </w:tcPr>
          <w:p>
            <w:pPr>
              <w:pStyle w:val="null3"/>
            </w:pPr>
            <w:r>
              <w:rPr>
                <w:rFonts w:ascii="仿宋_GB2312" w:hAnsi="仿宋_GB2312" w:cs="仿宋_GB2312" w:eastAsia="仿宋_GB2312"/>
              </w:rPr>
              <w:t>1、供应商针对本项目拟派的项目负责人具有与本项目相关专业高级职称的得4分，中级职称得2分，中级职称以下不得分；2、项目团队中（除项目负责人外）具有与本项目相关专业高级职称人员每提供一个得1分，中级职称人员每提供一个得0.5分。此项最高6分。不提供不得分。(需提供证书复印件加盖单位公章，同时需提供人员与本单位签订的劳动合同或在本单位缴纳的养老保险证明、职称证等资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供应商提供自2023年3月至今（以签订合同时间为准）的类似合同，需提供合同复印件，每提供一份得2分，最高得10分。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 2.磋商报价得分=（磋商基准价/最终磋商报价）×10的公式计算得分。 3.磋商报价不完整的，不进入评标标准价的计算，本项得0分。 4.经评磋商小组一致认定，超过预算金额,其响应将被拒绝。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详见附件：项目人员配置.docx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详见附件：项目人员配置.docx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详见附件：项目人员配置.docx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