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A1A5F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采购需求</w:t>
      </w:r>
    </w:p>
    <w:p w14:paraId="0017CFB2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/>
          <w:lang w:val="en-US" w:eastAsia="zh-CN"/>
        </w:rPr>
      </w:pPr>
    </w:p>
    <w:p w14:paraId="5617247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textAlignment w:val="baseline"/>
        <w:rPr>
          <w:rFonts w:hint="default" w:ascii="宋体" w:hAnsi="宋体" w:eastAsia="宋体" w:cs="宋体"/>
          <w:b/>
          <w:bCs/>
          <w:snapToGrid w:val="0"/>
          <w:color w:val="auto"/>
          <w:kern w:val="2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2"/>
          <w:sz w:val="21"/>
          <w:szCs w:val="21"/>
          <w:highlight w:val="none"/>
          <w:lang w:val="en-US" w:eastAsia="zh-CN" w:bidi="ar"/>
        </w:rPr>
        <w:t>一、项目概况</w:t>
      </w:r>
    </w:p>
    <w:p w14:paraId="2C73ACB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-199" w:rightChars="-95" w:firstLine="420" w:firstLineChars="200"/>
        <w:textAlignment w:val="baseline"/>
        <w:rPr>
          <w:rFonts w:hint="eastAsia" w:ascii="宋体" w:hAnsi="宋体" w:eastAsia="宋体" w:cs="宋体"/>
          <w:b/>
          <w:bCs/>
          <w:snapToGrid w:val="0"/>
          <w:color w:val="auto"/>
          <w:kern w:val="2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本项目为陕西省司法厅2026年陕西法治杂志办刊项目。主要为本次杂志进行选题策划、栏目设置、编辑、校对、组版服务，包括杂志栏目稿件采写编辑、版面设计等服务。</w:t>
      </w:r>
    </w:p>
    <w:p w14:paraId="6FA6AD5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textAlignment w:val="baseline"/>
        <w:rPr>
          <w:rFonts w:hint="default" w:ascii="宋体" w:hAnsi="宋体" w:eastAsia="宋体" w:cs="宋体"/>
          <w:b/>
          <w:bCs/>
          <w:snapToGrid w:val="0"/>
          <w:color w:val="auto"/>
          <w:kern w:val="2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2"/>
          <w:sz w:val="21"/>
          <w:szCs w:val="21"/>
          <w:highlight w:val="none"/>
          <w:lang w:val="en-US" w:eastAsia="zh-CN" w:bidi="ar"/>
        </w:rPr>
        <w:t>二、技术条款（服务内容）</w:t>
      </w:r>
    </w:p>
    <w:p w14:paraId="121109FD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1.供应商需具备法治媒体宣传和出版的能力，切实让杂志为陕西法治建设服务。杂志必须紧扣法治建设工作大局，守正创新，聚焦法治陕西、平安陕西建设主题，做强主题宣传、成就宣传、典型宣传，呈现出全省各级各部门奋力推进陕西法治建设的探索与成就。</w:t>
      </w:r>
    </w:p>
    <w:p w14:paraId="179F5B74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2.供应商提供至少</w:t>
      </w:r>
      <w:r>
        <w:rPr>
          <w:rFonts w:hint="eastAsia" w:ascii="宋体" w:hAnsi="宋体" w:eastAsia="宋体" w:cs="宋体"/>
          <w:highlight w:val="none"/>
          <w:lang w:val="en" w:eastAsia="zh-CN"/>
        </w:rPr>
        <w:t>2名以上法律专家，具</w:t>
      </w:r>
      <w:r>
        <w:rPr>
          <w:rFonts w:hint="eastAsia" w:ascii="宋体" w:hAnsi="宋体" w:eastAsia="宋体" w:cs="宋体"/>
          <w:highlight w:val="none"/>
          <w:lang w:val="en-US" w:eastAsia="zh-CN"/>
        </w:rPr>
        <w:t>有丰富的法治类办报办刊经验，成立杂志工作小组专门负责杂志的选题策划、栏目设置、编辑、校对、组版服务，包括杂志栏目稿件采写编辑、版面设计等服务，指派专人与采购人对接，共同商定刊物定位、征订发行等重大事项。</w:t>
      </w:r>
    </w:p>
    <w:p w14:paraId="481B52E8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3.进行市场调研，结合时代发展脉搏，确保杂志具有新颖、可读性，“引关圈粉”，让杂志发挥法治宣传作用。</w:t>
      </w:r>
    </w:p>
    <w:p w14:paraId="5F1E8943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4.杂志稿件采写依据陕西法治建设工作实际，迎合三秦百姓法治需求，杂志稿件由专职记者进行实地采访。同时组织协调好特邀人员、通讯员撰写陕西法治建设宣传稿件，确保杂志稿件内容丰富、多样。不断提升杂志内容质量，提高杂志的可读性和宣传度，扩大杂志覆盖面和影响力。</w:t>
      </w:r>
    </w:p>
    <w:p w14:paraId="19D0577E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5.供应商须拥有强大的图片数据库及先进的印刷设备，并且建立一支专业的版面设计队伍，确保杂志能第一时间打动读者，直击阅读者法治思维深处，产生需求上的共鸣。</w:t>
      </w:r>
    </w:p>
    <w:p w14:paraId="0CB109B0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6.杂志小组对内容编辑、组版等服务必须严格执行“三审三校”，文字内容必须“零错误”。</w:t>
      </w:r>
    </w:p>
    <w:p w14:paraId="36771DBA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7.供应商提供杂志印刷及邮寄服务。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杂志具体规格为：成品尺寸205*275；封面规格为157克铜版纸；内文为80克铜版纸，彩色印刷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lang w:val="en-US" w:eastAsia="zh-CN"/>
        </w:rPr>
        <w:t>；内文56页。</w:t>
      </w:r>
    </w:p>
    <w:p w14:paraId="410F2FD3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宋体" w:hAnsi="宋体" w:eastAsia="宋体" w:cs="宋体"/>
          <w:b/>
          <w:bCs/>
          <w:snapToGrid w:val="0"/>
          <w:color w:val="auto"/>
          <w:kern w:val="2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2"/>
          <w:sz w:val="21"/>
          <w:szCs w:val="21"/>
          <w:highlight w:val="none"/>
          <w:lang w:val="en-US" w:eastAsia="zh-CN" w:bidi="ar"/>
        </w:rPr>
        <w:t>三、商务条款</w:t>
      </w:r>
    </w:p>
    <w:p w14:paraId="1626E630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420" w:firstLineChars="20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详见采购文件3.3商务要求。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C0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2026-03-24T08:58:12Z</dcterms:created>
  <dc:creator>Administrator</dc:creator>
  <cp:lastModifiedBy>Lenovo</cp:lastModifiedBy>
  <dcterms:modified xsi:type="dcterms:W3CDTF">2026-03-24T08:58:51Z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eyJoZGlkIjoiYzZkZTVhZDhmYjRjMGEwYTQwZWQ4YmZkZjE5MDQ2MzAiLCJ1c2VySWQiOiI0NDgyMTE1NDUifQ==</vt:lpwstr>
  </property>
  <property fmtid="{D5CDD505-2E9C-101B-9397-08002B2CF9AE}" pid="4" name="ICV">
    <vt:lpwstr>3BC50ED8FE834B3282FE802350E75ABD_12</vt:lpwstr>
  </property>
</Properties>
</file>