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版本号：SXLX26-02-020Z（F）20260324001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陕西省司法厅2026年陕西法治杂志办刊项目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SXLX26-02-020Z（F）</w:t>
      </w:r>
      <w:r>
        <w:br/>
      </w:r>
      <w:r>
        <w:br/>
      </w:r>
      <w:r>
        <w:br/>
      </w:r>
    </w:p>
    <w:p>
      <w:pPr>
        <w:pStyle w:val="null3"/>
        <w:jc w:val="center"/>
        <w:outlineLvl w:val="5"/>
      </w:pPr>
      <w:r>
        <w:rPr>
          <w:rFonts w:ascii="仿宋_GB2312" w:hAnsi="仿宋_GB2312" w:cs="仿宋_GB2312" w:eastAsia="仿宋_GB2312"/>
          <w:sz w:val="15"/>
          <w:b/>
        </w:rPr>
        <w:t>省司法厅机关</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陕西省司法厅2026年陕西法治杂志办刊项目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SXLX26-02-020Z（F）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陕西省司法厅2026年陕西法治杂志办刊项目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本项目为陕西省司法厅2026年陕西法治杂志办刊项目。主要为本次杂志进行选题策划、栏目设置、编辑、校对、组版服务，包括杂志栏目稿件采写编辑、版面设计等服务。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029-87293217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代理服务费收费标准：采购代理服务费依据《国家发展改革委关于进一步放开建设项目专业服务价格的通知》（发改价格〔2015〕299号）文件收取6000元整。请将采购代理服务费汇至下列指定账户：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陕西省司法厅2026年陕西法治杂志办刊项目。主要为本次杂志进行选题策划、栏目设置、编辑、校对、组版服务，包括杂志栏目稿件采写编辑、版面设计等服务。本项目所属行业为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陕西法治杂志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标的名称：陕西法治杂志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一、项目概况</w:t>
            </w:r>
            <w:r>
              <w:br/>
            </w:r>
            <w:r>
              <w:rPr>
                <w:rFonts w:ascii="仿宋_GB2312" w:hAnsi="仿宋_GB2312" w:cs="仿宋_GB2312" w:eastAsia="仿宋_GB2312"/>
                <w:sz w:val="21"/>
                <w:b/>
                <w:color w:val="000000"/>
              </w:rPr>
              <w:t xml:space="preserve"> 本项目为陕西省司法厅2026年陕西法治杂志办刊项目。主要为本次杂志进行选题策划、栏目设置、编辑、校对、组版服务，包括杂志栏目稿件采写编辑、版面设计等服务。</w:t>
            </w:r>
            <w:r>
              <w:br/>
            </w:r>
            <w:r>
              <w:rPr>
                <w:rFonts w:ascii="仿宋_GB2312" w:hAnsi="仿宋_GB2312" w:cs="仿宋_GB2312" w:eastAsia="仿宋_GB2312"/>
                <w:sz w:val="21"/>
                <w:b/>
                <w:color w:val="000000"/>
              </w:rPr>
              <w:t xml:space="preserve"> 二、技术条款（服务内容）</w:t>
            </w:r>
            <w:r>
              <w:br/>
            </w:r>
            <w:r>
              <w:rPr>
                <w:rFonts w:ascii="仿宋_GB2312" w:hAnsi="仿宋_GB2312" w:cs="仿宋_GB2312" w:eastAsia="仿宋_GB2312"/>
                <w:sz w:val="21"/>
                <w:b/>
                <w:color w:val="000000"/>
              </w:rPr>
              <w:t xml:space="preserve"> 1.供应商需具备法治媒体宣传和出版的能力，切实让杂志为陕西法治建设服务。杂志必须紧扣法治建设工作大局，守正创新，聚焦法治陕西、平安陕西建设主题，做强主题宣传、成就宣传、典型宣传，呈现出全省各级各部门奋力推进陕西法治建设的探索与成就。</w:t>
            </w:r>
            <w:r>
              <w:br/>
            </w:r>
            <w:r>
              <w:rPr>
                <w:rFonts w:ascii="仿宋_GB2312" w:hAnsi="仿宋_GB2312" w:cs="仿宋_GB2312" w:eastAsia="仿宋_GB2312"/>
                <w:sz w:val="21"/>
                <w:b/>
                <w:color w:val="000000"/>
              </w:rPr>
              <w:t xml:space="preserve"> 2.供应商提供至少2名以上法律专家，具有丰富的法治类办报办刊经验，成立杂志工作小组专门负责杂志的选题策划、栏目设置、编辑、校对、组版服务，包括杂志栏目稿件采写编辑、版面设计等服务，指派专人与采购人对接，共同商定刊物定位、征订发行等重大事项。</w:t>
            </w:r>
            <w:r>
              <w:br/>
            </w:r>
            <w:r>
              <w:rPr>
                <w:rFonts w:ascii="仿宋_GB2312" w:hAnsi="仿宋_GB2312" w:cs="仿宋_GB2312" w:eastAsia="仿宋_GB2312"/>
                <w:sz w:val="21"/>
                <w:b/>
                <w:color w:val="000000"/>
              </w:rPr>
              <w:t xml:space="preserve"> 3.进行市场调研，结合时代发展脉搏，确保杂志具有新颖、可读性，“引关圈粉”，让杂志发挥法治宣传作用。</w:t>
            </w:r>
            <w:r>
              <w:br/>
            </w:r>
            <w:r>
              <w:rPr>
                <w:rFonts w:ascii="仿宋_GB2312" w:hAnsi="仿宋_GB2312" w:cs="仿宋_GB2312" w:eastAsia="仿宋_GB2312"/>
                <w:sz w:val="21"/>
                <w:b/>
                <w:color w:val="000000"/>
              </w:rPr>
              <w:t xml:space="preserve"> 4.杂志稿件采写依据陕西法治建设工作实际，迎合三秦百姓法治需求，杂志稿件由专职记者进行实地采访。同时组织协调好特邀人员、通讯员撰写陕西法治建设宣传稿件，确保杂志稿件内容丰富、多样。不断提升杂志内容质量，提高杂志的可读性和宣传度，扩大杂志覆盖面和影响力。</w:t>
            </w:r>
            <w:r>
              <w:br/>
            </w:r>
            <w:r>
              <w:rPr>
                <w:rFonts w:ascii="仿宋_GB2312" w:hAnsi="仿宋_GB2312" w:cs="仿宋_GB2312" w:eastAsia="仿宋_GB2312"/>
                <w:sz w:val="21"/>
                <w:b/>
                <w:color w:val="000000"/>
              </w:rPr>
              <w:t xml:space="preserve"> 5.供应商须拥有强大的图片数据库及先进的印刷设备，并且建立一支专业的版面设计队伍，确保杂志能第一时间打动读者，直击阅读者法治思维深处，产生需求上的共鸣。</w:t>
            </w:r>
            <w:r>
              <w:br/>
            </w:r>
            <w:r>
              <w:rPr>
                <w:rFonts w:ascii="仿宋_GB2312" w:hAnsi="仿宋_GB2312" w:cs="仿宋_GB2312" w:eastAsia="仿宋_GB2312"/>
                <w:sz w:val="21"/>
                <w:b/>
                <w:color w:val="000000"/>
              </w:rPr>
              <w:t xml:space="preserve"> 6.杂志小组对内容编辑、组版等服务必须严格执行“三审三校”，文字内容必须“零错误”。</w:t>
            </w:r>
            <w:r>
              <w:br/>
            </w:r>
            <w:r>
              <w:rPr>
                <w:rFonts w:ascii="仿宋_GB2312" w:hAnsi="仿宋_GB2312" w:cs="仿宋_GB2312" w:eastAsia="仿宋_GB2312"/>
                <w:sz w:val="21"/>
                <w:b/>
                <w:color w:val="000000"/>
              </w:rPr>
              <w:t xml:space="preserve"> 7.供应商提供杂志印刷及邮寄服务。杂志具体规格为：成品尺寸205*275；封面规格为157克铜版纸；内文为80克铜版纸，彩色印刷；内文56页。</w:t>
            </w:r>
            <w:r>
              <w:br/>
            </w:r>
            <w:r>
              <w:rPr>
                <w:rFonts w:ascii="仿宋_GB2312" w:hAnsi="仿宋_GB2312" w:cs="仿宋_GB2312" w:eastAsia="仿宋_GB2312"/>
                <w:sz w:val="21"/>
                <w:b/>
                <w:color w:val="000000"/>
              </w:rPr>
              <w:t xml:space="preserve"> 三、商务条款</w:t>
            </w:r>
            <w:r>
              <w:br/>
            </w:r>
            <w:r>
              <w:rPr>
                <w:rFonts w:ascii="仿宋_GB2312" w:hAnsi="仿宋_GB2312" w:cs="仿宋_GB2312" w:eastAsia="仿宋_GB2312"/>
                <w:sz w:val="21"/>
                <w:b/>
                <w:color w:val="000000"/>
              </w:rPr>
              <w:t xml:space="preserve"> 详见采购文件3.3商务要求。</w:t>
            </w:r>
          </w:p>
          <w:p>
            <w:pPr>
              <w:pStyle w:val="null3"/>
              <w:ind w:firstLine="420"/>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至少2名以上法律专家，具有丰富的法治类办报办刊经验，成立杂志工作小组专门负责杂志的选题策划、栏目设置、编辑、校对、组版服务，包括杂志栏目稿件采写编辑、版面设计等服务，指派专人与采购人对接，共同商定刊物定位、征订发行等重大事项。</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根据项目特性，自行配置投入有利于完成本项目服务的设施设备。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服务期限过半后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服务期限结束后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报价是供应商响应本项目要求的全部工作内容的价格体现，包括供应商完成本项目所需的直接费、间接费、利润、税金及其他相关的一切费用。包括但不限于：人工费、印刷费、邮寄费、设备费、管理费、验收费、采购代理服务费、利润和税金等全部费用。在提供服务的过程中的任何遗漏，均由成交供应商免费提供，采购人将不再支付任何费用。 三、协商有效期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四、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六、签名是指手写签名或者加盖名章(含电子签名或电子印章)，盖章是指加盖单位印章。 七、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九、最终报价如出现异常低价，执行财库〔2026〕2号《关于推动解决政府采购异常低价问题的通知》，协商小组可在最后报价审查表中审核是否通过审查。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参加协商的，提供本人身份证复印件；法定代表人（单位负责人）授权他人参加协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参加本次协商前3年内，在经营活动中没有重大违法记录的书面声明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代理机构将于本项目磋商文件递交截止日在“信用中国”“中国执行信息公开网”“中国政府采购网”对供应商进行信用记录查询。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商务技术文件.docx 标的清单 报价表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协商小组认为供应商报价明显不合理，影响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响应文件中不存在采购文件规定的无效情形。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