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版本号：ZMZB2026XYZY-3420260320001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咸阳校区第一实训楼六楼报告厅装修改造项目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ZMZB2026XYZY-34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咸阳校区第一实训楼六楼报告厅装修改造项目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ZMZB2026XYZY-34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咸阳校区第一实训楼六楼报告厅装修改造项目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咸阳校区第一实训楼六楼报告厅装修改造项目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采购包1（咸阳校区第一实训楼六楼报告厅装修改造项目）：属于专门面向中小企业采购。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8、施工资质：具备设计行政主管部门颁发的建筑装饰装修工程专业承包二级以上（含二级）资质证书，并具备有效的安全生产许可证。</w:t>
      </w:r>
    </w:p>
    <w:p>
      <w:pPr>
        <w:pStyle w:val="null3"/>
      </w:pPr>
      <w:r>
        <w:rPr>
          <w:rFonts w:ascii="仿宋_GB2312" w:hAnsi="仿宋_GB2312" w:cs="仿宋_GB2312" w:eastAsia="仿宋_GB2312"/>
        </w:rPr>
        <w:t>9、拟派项目负责人资质及专业要求：拟派项目经理须具备建筑工程专业二级以上（含二级）注册建造师执业资格证（在本单位注册）及有效的安全生产考核合格证（建安B证），未担任其它在建工程的项目经理（提供承诺）</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采购包1：1,070,044.88元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在签订合同前须向甲方缴纳合同款项的3%作为合同履约保证金，验收合格，履约结束后一次性不计息退还。缴纳履约保证金时须备注项目名称及款项用途。在工程竣工验收合格后，履约保证金自动转为质量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75%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踏勘时间：2026-03-30 09:30:00</w:t>
            </w:r>
          </w:p>
          <w:p>
            <w:pPr>
              <w:pStyle w:val="null3"/>
              <w:ind w:firstLine="975"/>
            </w:pPr>
            <w:r>
              <w:rPr>
                <w:rFonts w:ascii="仿宋_GB2312" w:hAnsi="仿宋_GB2312" w:cs="仿宋_GB2312" w:eastAsia="仿宋_GB2312"/>
              </w:rPr>
              <w:t>踏勘地点：组织现场踏勘：自行前往踏勘，陕西能源职业技术学院咸阳校区第一实训大楼集合</w:t>
            </w:r>
          </w:p>
          <w:p>
            <w:pPr>
              <w:pStyle w:val="null3"/>
              <w:ind w:firstLine="975"/>
            </w:pPr>
            <w:r>
              <w:rPr>
                <w:rFonts w:ascii="仿宋_GB2312" w:hAnsi="仿宋_GB2312" w:cs="仿宋_GB2312" w:eastAsia="仿宋_GB2312"/>
              </w:rPr>
              <w:t>联系人：杜老师</w:t>
            </w:r>
          </w:p>
          <w:p>
            <w:pPr>
              <w:pStyle w:val="null3"/>
              <w:ind w:firstLine="975"/>
            </w:pPr>
            <w:r>
              <w:rPr>
                <w:rFonts w:ascii="仿宋_GB2312" w:hAnsi="仿宋_GB2312" w:cs="仿宋_GB2312" w:eastAsia="仿宋_GB2312"/>
              </w:rPr>
              <w:t>联系电话号码：18629291601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1,070,044.88</w:t>
      </w:r>
    </w:p>
    <w:p>
      <w:pPr>
        <w:pStyle w:val="null3"/>
      </w:pPr>
      <w:r>
        <w:rPr>
          <w:rFonts w:ascii="仿宋_GB2312" w:hAnsi="仿宋_GB2312" w:cs="仿宋_GB2312" w:eastAsia="仿宋_GB2312"/>
        </w:rPr>
        <w:t>采购包最高限价（元）: 1,070,044.88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咸阳校区第一实训楼六楼报告厅装修改造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1,070,044.88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标的名称：咸阳校区第一实训楼六楼报告厅装修改造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9"/>
                <w:color w:val="000000"/>
              </w:rPr>
              <w:t>项目概况：</w:t>
            </w:r>
          </w:p>
          <w:p>
            <w:pPr>
              <w:pStyle w:val="null3"/>
              <w:jc w:val="both"/>
            </w:pPr>
            <w:r>
              <w:rPr>
                <w:rFonts w:ascii="仿宋_GB2312" w:hAnsi="仿宋_GB2312" w:cs="仿宋_GB2312" w:eastAsia="仿宋_GB2312"/>
                <w:sz w:val="19"/>
                <w:color w:val="000000"/>
              </w:rPr>
              <w:t>咸阳校区第一实训楼六层报告厅目前存在吊顶掉皮、墙面饰板开裂、地砖空鼓破</w:t>
            </w:r>
            <w:r>
              <w:rPr>
                <w:rFonts w:ascii="仿宋_GB2312" w:hAnsi="仿宋_GB2312" w:cs="仿宋_GB2312" w:eastAsia="仿宋_GB2312"/>
                <w:sz w:val="19"/>
                <w:color w:val="000000"/>
              </w:rPr>
              <w:t>损、灯具电路老化、座椅老旧、空调老旧等问题，无法有效地满足会议、讲座、学术交流、实训演示等方面的高质量需求，需通过整体装修改造满足师生使用需求。</w:t>
            </w:r>
            <w:r>
              <w:rPr>
                <w:rFonts w:ascii="仿宋_GB2312" w:hAnsi="仿宋_GB2312" w:cs="仿宋_GB2312" w:eastAsia="仿宋_GB2312"/>
                <w:sz w:val="19"/>
                <w:color w:val="000000"/>
              </w:rPr>
              <w:t>工程所有的材料均需使用绿色环保无味材料。</w:t>
            </w:r>
            <w:r>
              <w:rPr>
                <w:rFonts w:ascii="仿宋_GB2312" w:hAnsi="仿宋_GB2312" w:cs="仿宋_GB2312" w:eastAsia="仿宋_GB2312"/>
                <w:sz w:val="19"/>
                <w:color w:val="000000"/>
              </w:rPr>
              <w:t>注：具体工程内容以工程量清单为准。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9"/>
                <w:color w:val="000000"/>
              </w:rPr>
              <w:t>编制说明</w:t>
            </w:r>
          </w:p>
          <w:p>
            <w:pPr>
              <w:pStyle w:val="null3"/>
              <w:jc w:val="left"/>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一、工程概况</w:t>
            </w:r>
          </w:p>
          <w:p>
            <w:pPr>
              <w:pStyle w:val="null3"/>
              <w:jc w:val="left"/>
            </w:pPr>
            <w:r>
              <w:rPr>
                <w:rFonts w:ascii="仿宋_GB2312" w:hAnsi="仿宋_GB2312" w:cs="仿宋_GB2312" w:eastAsia="仿宋_GB2312"/>
                <w:sz w:val="19"/>
                <w:color w:val="000000"/>
              </w:rPr>
              <w:t>本工程为陕西能源职业技术学院咸阳校区第一实训楼六楼报告厅改造工程，建筑面积为</w:t>
            </w:r>
            <w:r>
              <w:rPr>
                <w:rFonts w:ascii="仿宋_GB2312" w:hAnsi="仿宋_GB2312" w:cs="仿宋_GB2312" w:eastAsia="仿宋_GB2312"/>
                <w:sz w:val="19"/>
                <w:color w:val="000000"/>
              </w:rPr>
              <w:t>500㎡，为阶梯教室。</w:t>
            </w:r>
          </w:p>
          <w:p>
            <w:pPr>
              <w:pStyle w:val="null3"/>
              <w:jc w:val="left"/>
            </w:pPr>
            <w:r>
              <w:rPr>
                <w:rFonts w:ascii="仿宋_GB2312" w:hAnsi="仿宋_GB2312" w:cs="仿宋_GB2312" w:eastAsia="仿宋_GB2312"/>
                <w:sz w:val="19"/>
                <w:color w:val="000000"/>
              </w:rPr>
              <w:t>二、编制范围</w:t>
            </w:r>
          </w:p>
          <w:p>
            <w:pPr>
              <w:pStyle w:val="null3"/>
              <w:jc w:val="left"/>
            </w:pPr>
            <w:r>
              <w:rPr>
                <w:rFonts w:ascii="仿宋_GB2312" w:hAnsi="仿宋_GB2312" w:cs="仿宋_GB2312" w:eastAsia="仿宋_GB2312"/>
                <w:sz w:val="19"/>
                <w:color w:val="000000"/>
              </w:rPr>
              <w:t>工程预算内容包括室内墙面、地面、顶面装饰改造，中央空调、新风系统；座椅更换。</w:t>
            </w:r>
          </w:p>
          <w:p>
            <w:pPr>
              <w:pStyle w:val="null3"/>
              <w:jc w:val="left"/>
            </w:pPr>
            <w:r>
              <w:rPr>
                <w:rFonts w:ascii="仿宋_GB2312" w:hAnsi="仿宋_GB2312" w:cs="仿宋_GB2312" w:eastAsia="仿宋_GB2312"/>
                <w:sz w:val="19"/>
                <w:color w:val="000000"/>
              </w:rPr>
              <w:t>三、编制依据</w:t>
            </w:r>
            <w:r>
              <w:rPr>
                <w:rFonts w:ascii="仿宋_GB2312" w:hAnsi="仿宋_GB2312" w:cs="仿宋_GB2312" w:eastAsia="仿宋_GB2312"/>
                <w:sz w:val="19"/>
                <w:color w:val="000000"/>
              </w:rPr>
              <w:t xml:space="preserve">  </w:t>
            </w:r>
          </w:p>
          <w:p>
            <w:pPr>
              <w:pStyle w:val="null3"/>
              <w:jc w:val="left"/>
            </w:pPr>
            <w:r>
              <w:rPr>
                <w:rFonts w:ascii="仿宋_GB2312" w:hAnsi="仿宋_GB2312" w:cs="仿宋_GB2312" w:eastAsia="仿宋_GB2312"/>
                <w:sz w:val="19"/>
                <w:color w:val="000000"/>
              </w:rPr>
              <w:t>1.《陕西省建设工程工程量清单计价标准及计算标准》（2025）、《陕西省房屋建筑与装饰、安装、市政工程基价表》(2025)、《陕西省房屋建筑与装饰、安装、市政建设工程消耗量定额(2025)》；</w:t>
            </w:r>
          </w:p>
          <w:p>
            <w:pPr>
              <w:pStyle w:val="null3"/>
              <w:jc w:val="left"/>
            </w:pPr>
            <w:r>
              <w:rPr>
                <w:rFonts w:ascii="仿宋_GB2312" w:hAnsi="仿宋_GB2312" w:cs="仿宋_GB2312" w:eastAsia="仿宋_GB2312"/>
                <w:sz w:val="19"/>
                <w:color w:val="000000"/>
              </w:rPr>
              <w:t>2.依据施工图、图纸答疑等相关资料；</w:t>
            </w:r>
          </w:p>
          <w:p>
            <w:pPr>
              <w:pStyle w:val="null3"/>
              <w:jc w:val="left"/>
            </w:pPr>
            <w:r>
              <w:rPr>
                <w:rFonts w:ascii="仿宋_GB2312" w:hAnsi="仿宋_GB2312" w:cs="仿宋_GB2312" w:eastAsia="仿宋_GB2312"/>
                <w:sz w:val="19"/>
                <w:color w:val="000000"/>
              </w:rPr>
              <w:t>3.正常施工组织设计及施工方法；</w:t>
            </w:r>
          </w:p>
          <w:p>
            <w:pPr>
              <w:pStyle w:val="null3"/>
              <w:jc w:val="left"/>
            </w:pPr>
            <w:r>
              <w:rPr>
                <w:rFonts w:ascii="仿宋_GB2312" w:hAnsi="仿宋_GB2312" w:cs="仿宋_GB2312" w:eastAsia="仿宋_GB2312"/>
                <w:sz w:val="19"/>
                <w:color w:val="000000"/>
              </w:rPr>
              <w:t>4.施工规范及验收规范；</w:t>
            </w:r>
          </w:p>
          <w:p>
            <w:pPr>
              <w:pStyle w:val="null3"/>
              <w:jc w:val="left"/>
            </w:pPr>
            <w:r>
              <w:rPr>
                <w:rFonts w:ascii="仿宋_GB2312" w:hAnsi="仿宋_GB2312" w:cs="仿宋_GB2312" w:eastAsia="仿宋_GB2312"/>
                <w:sz w:val="19"/>
                <w:color w:val="000000"/>
              </w:rPr>
              <w:t>5.施工设计图中选用的相关标准图集；</w:t>
            </w:r>
          </w:p>
          <w:p>
            <w:pPr>
              <w:pStyle w:val="null3"/>
              <w:jc w:val="both"/>
            </w:pPr>
            <w:r>
              <w:rPr>
                <w:rFonts w:ascii="仿宋_GB2312" w:hAnsi="仿宋_GB2312" w:cs="仿宋_GB2312" w:eastAsia="仿宋_GB2312"/>
                <w:sz w:val="19"/>
                <w:color w:val="000000"/>
              </w:rPr>
              <w:t>6.材料价依据咸阳市工程造价信息2026年第1期信息价及市场价计入。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供应商在竞争性磋商响应文件中承诺的项目负责人及相应资质的专业技术、安全管理人员未经采购人书面同意，承包人不得调换和撤离，并按工程进度及时到位。采购人有权要求供应商撤换工作不负责任、管理不力、贻误工期和造成严重安全事故和违法乱纪的专业技术、安全管理人员。如项目负责人及相应资质的专业技术人员未按要求到位，视作违约，采购人有权按合同约定进行罚款直至单方面终止合同。 2.供应商须无条件接受采购人的现场检查和管理。 3.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4.施工的建筑垃圾应清运至有关部门指定的地点，做到工完场清。5.工程所有的材料均需使用绿色环保无味材料。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1.各供应商在获取文件后自行前往踏勘，踏勘地点：陕西能源职业技术学院咸阳校区第一实训大楼集合 联系人：杜老师 联系电话号码：18629291601（无需按照供应商须知前附表中的时间前往踏勘） 2.工期：合同签订后50日历日内 3.质保期：自工程竣工验收合格之日起两年 4.付款方式：工程全部完工，经甲方竣工验收质量符合合同约定，在甲方审计部门进行工程结算审计后，按照结算审计结果向乙方一次性支付工程款，乙方需在甲方支付工程款前向甲方开具等额合法有效的增值税发票，且项目结算审计费用按照《陕西能源职业技术学院建设工程项目审计实施办法》执行。 5.为顺利推进政府采购电子化交易平台应用工作，投标人需要在线提交所有通过电子化交易平台实施 的政府采购项目的投标文件，同时，线下提交纸质版投标文件，正本壹份、副本贰份(标明投标人名称，密 封递交)。若线上电子投标文件与纸质投标文件不一致的，以线上电子投标文件为准；若正本和副本不符， 以正本为准。线下递交文件截止时间:详见本项目招标公告文件递交截止时间。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具备设计行政主管部门颁发的建筑装饰装修工程专业承包二级以上（含二级）资质证书，并具备有效的安全生产许可证。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拟派项目经理须具备建筑工程专业二级以上（含二级）注册建造师执业资格证（在本单位注册）及有效的安全生产考核合格证（建安B证），未担任其它在建工程的项目经理（提供承诺）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响应文件报价超过采购预算或者最高限价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磋商响应文件依据磋商文件要求签字和盖章。 注：按磋商文件格式要求加盖了供应商公章或有法定代表人或其授权代表签字或加盖人名章均有效。</w:t>
            </w:r>
          </w:p>
        </w:tc>
        <w:tc>
          <w:tcPr>
            <w:tcW w:type="dxa" w:w="1661"/>
          </w:tcPr>
          <w:p>
            <w:pPr>
              <w:pStyle w:val="null3"/>
            </w:pPr>
            <w:r>
              <w:rPr>
                <w:rFonts w:ascii="仿宋_GB2312" w:hAnsi="仿宋_GB2312" w:cs="仿宋_GB2312" w:eastAsia="仿宋_GB2312"/>
              </w:rPr>
              <w:t>响应文件封面 已标价工程量清单 中小企业声明函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符合采购文件关于质保期的要求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符合采购文件关于工期的要求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磋商响应文件有效期是否合格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响应文件工程量清单出现漏项或与要求不符的</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法律法规或采购文件规定不允许出现的其他情形</w:t>
            </w:r>
          </w:p>
        </w:tc>
        <w:tc>
          <w:tcPr>
            <w:tcW w:type="dxa" w:w="1661"/>
          </w:tcPr>
          <w:p>
            <w:pPr>
              <w:pStyle w:val="null3"/>
            </w:pPr>
            <w:r>
              <w:rPr>
                <w:rFonts w:ascii="仿宋_GB2312" w:hAnsi="仿宋_GB2312" w:cs="仿宋_GB2312" w:eastAsia="仿宋_GB2312"/>
              </w:rPr>
              <w:t>已标价工程量清单 中小企业声明函 供应商认为有必要说明的其他问题.docx 资格证明文件.docx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方案设计</w:t>
            </w:r>
          </w:p>
        </w:tc>
        <w:tc>
          <w:tcPr>
            <w:tcW w:type="dxa" w:w="2492"/>
          </w:tcPr>
          <w:p>
            <w:pPr>
              <w:pStyle w:val="null3"/>
            </w:pPr>
            <w:r>
              <w:rPr>
                <w:rFonts w:ascii="仿宋_GB2312" w:hAnsi="仿宋_GB2312" w:cs="仿宋_GB2312" w:eastAsia="仿宋_GB2312"/>
              </w:rPr>
              <w:t>1.能充分把握项目需求和背景，充分理解设计任务书，对设计重点、难点分析清晰，根据响应程度计[3-0）分，未提供不得分。 2.设计思路清晰、新颖，能较好的展现和突出项目特点和需求，针对性强，根据响应程度计[3-0）分，未提供不得分。 3.教室规划空间合理、风格新颖，根据响应程度计[3-0）分，不合理或未提供的不得分。 4.装修改造效果满足学院培训教学需求，效果强，根据响应程度计[3-0）分，差或未提供不得分。 5.装修改造风格简洁、美观、大方，环境舒适，功能性强，根据响应程度计[3-0）分，差或未提供不得分。 6.多媒体呈现形式新颖，形式多样，能突出教学的特点，根据响应程度计[3-0）分，差或未提供不得分。 7.对工程费用的控制措施具体、有效，能有效的控制工程造价，根据响应程度计[3-0）分，差或未提供不得分。 8.施工图设计执行标准和规范明确，质量控制措施具体、进度计划衔接连贯，能有效的保证工期，根据响应程度计[3-0）分；差或未提供不得分。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1.保证工程质量的技术措施：保证工程质量的技术措施详细、完整、可行，根据响应程度计[3-0）分，未提供不得分。 2.工程质量的安全生产组织措施：安全生产的技术组织措施详细、明确、可行；根据响应程度计[3-0）分，未提供不得分。 3.施工组织方案：施工组织方案详细、各部分措施具体，与应设计方案文化，根据响应程度计[3-0）分，未提供不得分。 4.安全文明施工措施：安全文明施工措施及环境保护措施完整、详细、可行，根据响应程度计[3-0）分，未提供不得分。 5.拟派施工项目部：施工项目部组织架构清晰，责任清晰，专业作业队配置齐全、详细，根据响应程度计[3-0）分；未提供不得分。 6.施工机械设备配备计划：主要机械设备配备齐全、合理，根据响应程度计[3-0）分；未提供不得分。 7.劳动力安排计划：劳动力安排详细、合理，根据响应程度计[3-0）分；未提供不得分。 8.工程进度计划及措施：工期满足采购要求，提供工程进度表或施工网络图以及详细的措施，工期控制连贯、清晰、合理、规范，根据响应程度计[3-0）分；未提供不得分。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主要材料</w:t>
            </w:r>
          </w:p>
        </w:tc>
        <w:tc>
          <w:tcPr>
            <w:tcW w:type="dxa" w:w="2492"/>
          </w:tcPr>
          <w:p>
            <w:pPr>
              <w:pStyle w:val="null3"/>
            </w:pPr>
            <w:r>
              <w:rPr>
                <w:rFonts w:ascii="仿宋_GB2312" w:hAnsi="仿宋_GB2312" w:cs="仿宋_GB2312" w:eastAsia="仿宋_GB2312"/>
              </w:rPr>
              <w:t>根据供应商针对本项目主要材料选用情况进行评审：①主要材料清单；②材料性能、品牌型号、技术参数性能；③主材检测报告完整性、供货渠道来源合法性；④质量保证承诺。 从方案全面性、科学合理性、可操作性等方面综合评价，每项最高得3分，本项最高得12分，未提供不得分。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针对本项目提供相关工程保修方案进行评审，其中包含①质量保证期内的保障工作服务方案及工作计划；②维修保养服务内容及相关标准；③保修团队人员配备并具备相关得资格证书；④有巡查或复查计划及质量保障措施；⑤对工程维修服务响应时限有明确的承诺。 从方案全面性、科学合理性、可操作性等方面综合评价，每项最高得3分，本项最高得15分，未提供不得分。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提供供应商2023年1月至今同类项目业绩；每提供1份计1分，最高得5分。业绩证明（以合同为准，须在投标文件中附证明材料的扫描件，时间以合同签订时间为准）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20分。其他供应商的价格分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详见附件：方案设计.docx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详见附件：主要材料.docx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