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版本号：KY2026-3-04720260323001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火箭弹采购项目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KY2026-3-047</w:t>
      </w:r>
      <w:r>
        <w:br/>
      </w:r>
      <w:r>
        <w:br/>
      </w:r>
      <w:r>
        <w:br/>
      </w:r>
      <w:r>
        <w:br/>
      </w:r>
      <w:r>
        <w:br/>
      </w:r>
    </w:p>
    <w:p>
      <w:pPr>
        <w:pStyle w:val="null3"/>
        <w:jc w:val="center"/>
        <w:outlineLvl w:val="5"/>
      </w:pPr>
      <w:r>
        <w:rPr>
          <w:rFonts w:ascii="仿宋_GB2312" w:hAnsi="仿宋_GB2312" w:cs="仿宋_GB2312" w:eastAsia="仿宋_GB2312"/>
          <w:sz w:val="15"/>
          <w:b/>
        </w:rPr>
        <w:t>陕西省人工影响天气中心</w:t>
      </w:r>
    </w:p>
    <w:p>
      <w:pPr>
        <w:pStyle w:val="null3"/>
        <w:jc w:val="center"/>
        <w:outlineLvl w:val="5"/>
      </w:pPr>
      <w:r>
        <w:rPr>
          <w:rFonts w:ascii="仿宋_GB2312" w:hAnsi="仿宋_GB2312" w:cs="仿宋_GB2312" w:eastAsia="仿宋_GB2312"/>
          <w:sz w:val="15"/>
          <w:b/>
        </w:rPr>
        <w:t>陕西开源招标有限公司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陕西省人工影响天气中心</w:t>
      </w:r>
      <w:r>
        <w:rPr>
          <w:rFonts w:ascii="仿宋_GB2312" w:hAnsi="仿宋_GB2312" w:cs="仿宋_GB2312" w:eastAsia="仿宋_GB2312"/>
        </w:rPr>
        <w:t>委托，拟对</w:t>
      </w:r>
      <w:r>
        <w:rPr>
          <w:rFonts w:ascii="仿宋_GB2312" w:hAnsi="仿宋_GB2312" w:cs="仿宋_GB2312" w:eastAsia="仿宋_GB2312"/>
        </w:rPr>
        <w:t>火箭弹采购项目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KY2026-3-047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火箭弹采购项目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陕西省人工影响天气中心火箭弹采购项目，具体内容详见采购文件第三章。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4、社会保障资金缴存证明：提供上一年度至今已缴纳至少一个月的社会保障资金缴存单据或社保机构开具的社会保险参保缴费情况证明，依法不需要缴纳社会保障资金的单位应提供相关证明材料。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陕西省人工影响天气中心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西安市未央区未央路102－1号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029-81619398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贾彤菲、黄梦迪、戈迪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采购包1：2,464,000.00元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采购包1：2,464,000.00元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银行账号：86113010750181502001014</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预算金额向采购代理机构交纳中标服务费，交费金额参照国家计委颁布的《招标代理服务收费管理暂行办法》（计价格[2002]1980号）及发改办价格[2003]857号文件的规定标准收取。2、本项目代理服务费按货物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陕西省人工影响天气中心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陕西省人工影响天气中心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陕西省人工影响天气中心火箭弹采购项目，具体内容详见采购文件第三章。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2,464,000.00</w:t>
      </w:r>
    </w:p>
    <w:p>
      <w:pPr>
        <w:pStyle w:val="null3"/>
      </w:pPr>
      <w:r>
        <w:rPr>
          <w:rFonts w:ascii="仿宋_GB2312" w:hAnsi="仿宋_GB2312" w:cs="仿宋_GB2312" w:eastAsia="仿宋_GB2312"/>
        </w:rPr>
        <w:t>采购包最高限价（元）: 2,464,000.00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火箭弹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2,464,000.00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标的名称：火箭弹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1、弹径：</w:t>
            </w:r>
            <w:r>
              <w:rPr>
                <w:rFonts w:ascii="仿宋_GB2312" w:hAnsi="仿宋_GB2312" w:cs="仿宋_GB2312" w:eastAsia="仿宋_GB2312"/>
                <w:sz w:val="24"/>
              </w:rPr>
              <w:t>φ</w:t>
            </w:r>
            <w:r>
              <w:rPr>
                <w:rFonts w:ascii="仿宋_GB2312" w:hAnsi="仿宋_GB2312" w:cs="仿宋_GB2312" w:eastAsia="仿宋_GB2312"/>
                <w:sz w:val="24"/>
              </w:rPr>
              <w:t>82mm</w:t>
            </w:r>
          </w:p>
          <w:p>
            <w:pPr>
              <w:pStyle w:val="null3"/>
              <w:jc w:val="both"/>
            </w:pPr>
            <w:r>
              <w:rPr>
                <w:rFonts w:ascii="仿宋_GB2312" w:hAnsi="仿宋_GB2312" w:cs="仿宋_GB2312" w:eastAsia="仿宋_GB2312"/>
                <w:sz w:val="24"/>
              </w:rPr>
              <w:t>2、弹长：1453±5mm</w:t>
            </w:r>
          </w:p>
          <w:p>
            <w:pPr>
              <w:pStyle w:val="null3"/>
              <w:jc w:val="both"/>
            </w:pPr>
            <w:r>
              <w:rPr>
                <w:rFonts w:ascii="仿宋_GB2312" w:hAnsi="仿宋_GB2312" w:cs="仿宋_GB2312" w:eastAsia="仿宋_GB2312"/>
                <w:sz w:val="24"/>
              </w:rPr>
              <w:t>3、全弹质量：8.3±0.3kg</w:t>
            </w:r>
          </w:p>
          <w:p>
            <w:pPr>
              <w:pStyle w:val="null3"/>
              <w:jc w:val="both"/>
            </w:pPr>
            <w:r>
              <w:rPr>
                <w:rFonts w:ascii="仿宋_GB2312" w:hAnsi="仿宋_GB2312" w:cs="仿宋_GB2312" w:eastAsia="仿宋_GB2312"/>
                <w:sz w:val="24"/>
              </w:rPr>
              <w:t>4、点火系统阻值：0.5~0.9Ω</w:t>
            </w:r>
          </w:p>
          <w:p>
            <w:pPr>
              <w:pStyle w:val="null3"/>
              <w:jc w:val="both"/>
            </w:pPr>
            <w:r>
              <w:rPr>
                <w:rFonts w:ascii="仿宋_GB2312" w:hAnsi="仿宋_GB2312" w:cs="仿宋_GB2312" w:eastAsia="仿宋_GB2312"/>
                <w:sz w:val="24"/>
              </w:rPr>
              <w:t>5、最大射高：8.0±0.4km</w:t>
            </w:r>
          </w:p>
          <w:p>
            <w:pPr>
              <w:pStyle w:val="null3"/>
              <w:jc w:val="both"/>
            </w:pPr>
            <w:r>
              <w:rPr>
                <w:rFonts w:ascii="仿宋_GB2312" w:hAnsi="仿宋_GB2312" w:cs="仿宋_GB2312" w:eastAsia="仿宋_GB2312"/>
                <w:sz w:val="24"/>
              </w:rPr>
              <w:t>6、点火位置：中部点火</w:t>
            </w:r>
          </w:p>
          <w:p>
            <w:pPr>
              <w:pStyle w:val="null3"/>
              <w:jc w:val="both"/>
            </w:pPr>
            <w:r>
              <w:rPr>
                <w:rFonts w:ascii="仿宋_GB2312" w:hAnsi="仿宋_GB2312" w:cs="仿宋_GB2312" w:eastAsia="仿宋_GB2312"/>
                <w:sz w:val="24"/>
              </w:rPr>
              <w:t>7、催化剂质量：630g</w:t>
            </w:r>
          </w:p>
          <w:p>
            <w:pPr>
              <w:pStyle w:val="null3"/>
              <w:jc w:val="both"/>
            </w:pPr>
            <w:r>
              <w:rPr>
                <w:rFonts w:ascii="仿宋_GB2312" w:hAnsi="仿宋_GB2312" w:cs="仿宋_GB2312" w:eastAsia="仿宋_GB2312"/>
                <w:sz w:val="24"/>
              </w:rPr>
              <w:t>8、碘化银含量：31.5g</w:t>
            </w:r>
          </w:p>
          <w:p>
            <w:pPr>
              <w:pStyle w:val="null3"/>
              <w:jc w:val="both"/>
            </w:pPr>
            <w:r>
              <w:rPr>
                <w:rFonts w:ascii="仿宋_GB2312" w:hAnsi="仿宋_GB2312" w:cs="仿宋_GB2312" w:eastAsia="仿宋_GB2312"/>
                <w:sz w:val="24"/>
              </w:rPr>
              <w:t>9、催化剂工作方式：燃烧</w:t>
            </w:r>
          </w:p>
          <w:p>
            <w:pPr>
              <w:pStyle w:val="null3"/>
              <w:jc w:val="both"/>
            </w:pPr>
            <w:r>
              <w:rPr>
                <w:rFonts w:ascii="仿宋_GB2312" w:hAnsi="仿宋_GB2312" w:cs="仿宋_GB2312" w:eastAsia="仿宋_GB2312"/>
                <w:sz w:val="24"/>
              </w:rPr>
              <w:t>10、催化剂起播时间：3.5~5.5s</w:t>
            </w:r>
          </w:p>
          <w:p>
            <w:pPr>
              <w:pStyle w:val="null3"/>
              <w:jc w:val="both"/>
            </w:pPr>
            <w:r>
              <w:rPr>
                <w:rFonts w:ascii="仿宋_GB2312" w:hAnsi="仿宋_GB2312" w:cs="仿宋_GB2312" w:eastAsia="仿宋_GB2312"/>
                <w:sz w:val="24"/>
              </w:rPr>
              <w:t>11、催化剂工作时间：35~45s</w:t>
            </w:r>
          </w:p>
          <w:p>
            <w:pPr>
              <w:pStyle w:val="null3"/>
              <w:jc w:val="both"/>
            </w:pPr>
            <w:r>
              <w:rPr>
                <w:rFonts w:ascii="仿宋_GB2312" w:hAnsi="仿宋_GB2312" w:cs="仿宋_GB2312" w:eastAsia="仿宋_GB2312"/>
                <w:sz w:val="24"/>
              </w:rPr>
              <w:t>12、残骸处理方式：伞降</w:t>
            </w:r>
          </w:p>
          <w:p>
            <w:pPr>
              <w:pStyle w:val="null3"/>
              <w:jc w:val="both"/>
            </w:pPr>
            <w:r>
              <w:rPr>
                <w:rFonts w:ascii="仿宋_GB2312" w:hAnsi="仿宋_GB2312" w:cs="仿宋_GB2312" w:eastAsia="仿宋_GB2312"/>
                <w:sz w:val="24"/>
              </w:rPr>
              <w:t>13、残骸落地速度：不大于8m/s</w:t>
            </w:r>
          </w:p>
          <w:p>
            <w:pPr>
              <w:pStyle w:val="null3"/>
              <w:jc w:val="both"/>
            </w:pPr>
            <w:r>
              <w:rPr>
                <w:rFonts w:ascii="仿宋_GB2312" w:hAnsi="仿宋_GB2312" w:cs="仿宋_GB2312" w:eastAsia="仿宋_GB2312"/>
                <w:sz w:val="24"/>
              </w:rPr>
              <w:t>14、作用可靠性：99.5%</w:t>
            </w:r>
          </w:p>
          <w:p>
            <w:pPr>
              <w:pStyle w:val="null3"/>
              <w:jc w:val="both"/>
            </w:pPr>
            <w:r>
              <w:rPr>
                <w:rFonts w:ascii="仿宋_GB2312" w:hAnsi="仿宋_GB2312" w:cs="仿宋_GB2312" w:eastAsia="仿宋_GB2312"/>
                <w:sz w:val="24"/>
              </w:rPr>
              <w:t>15、贮存温度：-30~+50℃</w:t>
            </w:r>
          </w:p>
          <w:p>
            <w:pPr>
              <w:pStyle w:val="null3"/>
              <w:jc w:val="both"/>
            </w:pPr>
            <w:r>
              <w:rPr>
                <w:rFonts w:ascii="仿宋_GB2312" w:hAnsi="仿宋_GB2312" w:cs="仿宋_GB2312" w:eastAsia="仿宋_GB2312"/>
                <w:sz w:val="24"/>
              </w:rPr>
              <w:t>16、使用温度：-20~+50℃</w:t>
            </w:r>
          </w:p>
          <w:p>
            <w:pPr>
              <w:pStyle w:val="null3"/>
              <w:jc w:val="both"/>
            </w:pPr>
            <w:r>
              <w:rPr>
                <w:rFonts w:ascii="仿宋_GB2312" w:hAnsi="仿宋_GB2312" w:cs="仿宋_GB2312" w:eastAsia="仿宋_GB2312"/>
                <w:sz w:val="24"/>
              </w:rPr>
              <w:t>17、产品有效期：3年</w:t>
            </w:r>
          </w:p>
          <w:p>
            <w:pPr>
              <w:pStyle w:val="null3"/>
              <w:jc w:val="both"/>
            </w:pPr>
            <w:r>
              <w:rPr>
                <w:rFonts w:ascii="仿宋_GB2312" w:hAnsi="仿宋_GB2312" w:cs="仿宋_GB2312" w:eastAsia="仿宋_GB2312"/>
                <w:sz w:val="24"/>
              </w:rPr>
              <w:t>数量：</w:t>
            </w:r>
            <w:r>
              <w:rPr>
                <w:rFonts w:ascii="仿宋_GB2312" w:hAnsi="仿宋_GB2312" w:cs="仿宋_GB2312" w:eastAsia="仿宋_GB2312"/>
                <w:sz w:val="24"/>
              </w:rPr>
              <w:t>8</w:t>
            </w:r>
            <w:r>
              <w:rPr>
                <w:rFonts w:ascii="仿宋_GB2312" w:hAnsi="仿宋_GB2312" w:cs="仿宋_GB2312" w:eastAsia="仿宋_GB2312"/>
                <w:sz w:val="24"/>
              </w:rPr>
              <w:t>00枚</w:t>
            </w:r>
            <w:r>
              <w:rPr>
                <w:rFonts w:ascii="仿宋_GB2312" w:hAnsi="仿宋_GB2312" w:cs="仿宋_GB2312" w:eastAsia="仿宋_GB2312"/>
                <w:sz w:val="24"/>
                <w:b/>
              </w:rPr>
              <w:t>（最终以单价据实结算）</w:t>
            </w:r>
          </w:p>
          <w:p>
            <w:pPr>
              <w:pStyle w:val="null3"/>
            </w:pPr>
            <w:r>
              <w:rPr>
                <w:rFonts w:ascii="仿宋_GB2312" w:hAnsi="仿宋_GB2312" w:cs="仿宋_GB2312" w:eastAsia="仿宋_GB2312"/>
                <w:sz w:val="24"/>
                <w:b/>
              </w:rPr>
              <w:t>备注：本项目单价成交，最终据实结算。单价包含运杂费、保险、税款等相关费用，并且价格不收市场价格变化影响。</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交货期：合同签订后30个日历日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陕西省人工影响天气中心指定地点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产品验收合格后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1、本项目落实的政府采购政策： ①《政府采购促进中小企业发展管理办法》的通知--财库〔2020〕46号；②《财政部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 ⑩《关于推动解决政府采购异常低价问题的通知》财库〔2026〕2号；⑪《国务院办公厅关于在政府采购中实施本国产品标准及相关政策的通知》国办发〔2025〕34号；⑫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合同签订后，中标人需将合同扫描件发送至指定联系人邮箱，邮箱地址为1347072385@qq.com，并以邮件接收时间为退付的基准时间。 3、为顺利推进政府采购电子化交易平台应用工作，供应商需要在线提交所有通过电子化交易平台实施的政府采购项目的响应文件，同时，线下提交纸质响应文件正本壹份、副本壹份。4、纸质响应文件正、副本分别胶装，标明供应商名称密封递交，递交截止时间同在线递交响应电子文件截止时间一致，递交地址：西安市雁展路1111号莱安中心T6-15层。（纸质响应文件可邮寄（仅接受顺丰速运），邮件签收时间应在递交电子响应文件截止时间之前，邮寄地址：西安市雁展路1111号莱安中心T6-15层，联系人：贾彤菲，联系电话：029-81206622/81206633-833）。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提供上一年度至今已缴纳至少一个月的社会保障资金缴存单据或社保机构开具的社会保险参保缴费情况证明，依法不需要缴纳社会保障资金的单位应提供相关证明材料。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产品技术参数表 商务应答表 标的清单 报价表 项目实施方案 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产品技术参数表 残疾人福利性单位声明函 中小企业声明函 商务应答表 标的清单 报价表 响应函 监狱企业的证明文件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供应商认为有必要说明的问题.docx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响应文件按采购文件要求签字盖章</w:t>
            </w:r>
          </w:p>
        </w:tc>
        <w:tc>
          <w:tcPr>
            <w:tcW w:type="dxa" w:w="1661"/>
          </w:tcPr>
          <w:p>
            <w:pPr>
              <w:pStyle w:val="null3"/>
            </w:pPr>
            <w:r>
              <w:rPr>
                <w:rFonts w:ascii="仿宋_GB2312" w:hAnsi="仿宋_GB2312" w:cs="仿宋_GB2312" w:eastAsia="仿宋_GB2312"/>
              </w:rPr>
              <w:t>标的清单 报价表 响应函 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响应函 供应商资格条件证明文件.docx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详见附件：供应商认为有必要说明的问题.docx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