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版本号：SXJNZC-20260300320260323001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水质分析设备购置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SXJNZC-202603003</w:t>
      </w:r>
      <w:r>
        <w:br/>
      </w:r>
      <w:r>
        <w:br/>
      </w:r>
      <w:r>
        <w:br/>
      </w:r>
    </w:p>
    <w:p>
      <w:pPr>
        <w:pStyle w:val="null3"/>
        <w:jc w:val="center"/>
        <w:outlineLvl w:val="2"/>
      </w:pPr>
      <w:r>
        <w:rPr>
          <w:rFonts w:ascii="仿宋_GB2312" w:hAnsi="仿宋_GB2312" w:cs="仿宋_GB2312" w:eastAsia="仿宋_GB2312"/>
          <w:sz w:val="28"/>
          <w:b/>
        </w:rPr>
        <w:t>陕西省特种设备检验检测研究院</w:t>
      </w:r>
    </w:p>
    <w:p>
      <w:pPr>
        <w:pStyle w:val="null3"/>
        <w:jc w:val="center"/>
        <w:outlineLvl w:val="2"/>
      </w:pPr>
      <w:r>
        <w:rPr>
          <w:rFonts w:ascii="仿宋_GB2312" w:hAnsi="仿宋_GB2312" w:cs="仿宋_GB2312" w:eastAsia="仿宋_GB2312"/>
          <w:sz w:val="28"/>
          <w:b/>
        </w:rPr>
        <w:t>陕西杰诺招标有限公司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陕西杰诺招标有限公司</w:t>
      </w:r>
      <w:r>
        <w:rPr>
          <w:rFonts w:ascii="仿宋_GB2312" w:hAnsi="仿宋_GB2312" w:cs="仿宋_GB2312" w:eastAsia="仿宋_GB2312"/>
        </w:rPr>
        <w:t>（以下简称“代理机构”）受</w:t>
      </w:r>
      <w:r>
        <w:rPr>
          <w:rFonts w:ascii="仿宋_GB2312" w:hAnsi="仿宋_GB2312" w:cs="仿宋_GB2312" w:eastAsia="仿宋_GB2312"/>
        </w:rPr>
        <w:t>陕西省特种设备检验检测研究院</w:t>
      </w:r>
      <w:r>
        <w:rPr>
          <w:rFonts w:ascii="仿宋_GB2312" w:hAnsi="仿宋_GB2312" w:cs="仿宋_GB2312" w:eastAsia="仿宋_GB2312"/>
        </w:rPr>
        <w:t>委托，拟对</w:t>
      </w:r>
      <w:r>
        <w:rPr>
          <w:rFonts w:ascii="仿宋_GB2312" w:hAnsi="仿宋_GB2312" w:cs="仿宋_GB2312" w:eastAsia="仿宋_GB2312"/>
        </w:rPr>
        <w:t>水质分析设备购置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SXJNZC-202603003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水质分析设备购置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本单位计划采购水汽中痕量TOCi分析仪和 移动式脱气氢电导率表各一台，用于电站锅炉水质定期检验，以满足检验检测实验需求。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2023年度或2024年度的经审计的财务会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3、税收缴纳证明：提供2025年06月01日至今任意一月的纳税凭据或完税证明，依法免税的应提供相关证明材料；</w:t>
      </w:r>
    </w:p>
    <w:p>
      <w:pPr>
        <w:pStyle w:val="null3"/>
      </w:pPr>
      <w:r>
        <w:rPr>
          <w:rFonts w:ascii="仿宋_GB2312" w:hAnsi="仿宋_GB2312" w:cs="仿宋_GB2312" w:eastAsia="仿宋_GB2312"/>
        </w:rPr>
        <w:t>4、社会保障资金缴纳证明：社会保障资金缴纳证明：提供2025年06月01日至今任意一月的社会保障资金缴存单据或社保机构开具的社会保险参保缴费情况证明，依法不需要缴纳社会保障资金的应提供相关证明材料；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7、法定代表人授权书/法定代表人身份证明：法定代表人授权书（附法定代表人、被授权人身份证复印件及被授权人在本单位缴纳社保证明），法定代表人直接参加投标，须提供法定代表人身份证明；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陕西省特种设备检验检测研究院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西安市咸宁西路30号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陕西省特种设备检验检测研究院经办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029-82680740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陕西杰诺招标有限公司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西安市经济技术开发区凤城九路中登文景大厦B座七楼701室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向天军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029-86181701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中华人民共和国发展和改革委员会《调整后的招标代理服务收费标准》(发改价格〔2011〕534号)规定的收费标准收取。中标人在领取中标通知书的同时，交纳本项目招标代理服务费。招标代理服务费低于伍仟元的，按照伍仟元定额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陕西省特种设备检验检测研究院</w:t>
      </w:r>
      <w:r>
        <w:rPr>
          <w:rFonts w:ascii="仿宋_GB2312" w:hAnsi="仿宋_GB2312" w:cs="仿宋_GB2312" w:eastAsia="仿宋_GB2312"/>
        </w:rPr>
        <w:t>和</w:t>
      </w:r>
      <w:r>
        <w:rPr>
          <w:rFonts w:ascii="仿宋_GB2312" w:hAnsi="仿宋_GB2312" w:cs="仿宋_GB2312" w:eastAsia="仿宋_GB2312"/>
        </w:rPr>
        <w:t>陕西杰诺招标有限公司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陕西省特种设备检验检测研究院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陕西杰诺招标有限公司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陕西省特种设备检验检测研究院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陕西杰诺招标有限公司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符合国家法律法规规定的合格标准及招标文件要求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陕西杰诺招标有限公司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陕西杰诺招标有限公司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陕西杰诺招标有限公司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联系人：向天军</w:t>
      </w:r>
    </w:p>
    <w:p>
      <w:pPr>
        <w:pStyle w:val="null3"/>
      </w:pPr>
      <w:r>
        <w:rPr>
          <w:rFonts w:ascii="仿宋_GB2312" w:hAnsi="仿宋_GB2312" w:cs="仿宋_GB2312" w:eastAsia="仿宋_GB2312"/>
        </w:rPr>
        <w:t>联系电话：029-86181701</w:t>
      </w:r>
    </w:p>
    <w:p>
      <w:pPr>
        <w:pStyle w:val="null3"/>
      </w:pPr>
      <w:r>
        <w:rPr>
          <w:rFonts w:ascii="仿宋_GB2312" w:hAnsi="仿宋_GB2312" w:cs="仿宋_GB2312" w:eastAsia="仿宋_GB2312"/>
        </w:rPr>
        <w:t>地址：西安市经济技术开发区凤城九路中登文景大厦B座七楼701室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本单位计划采购水汽中痕量TOCi分析仪和 移动式脱气氢电导率表各一台，用于电站锅炉水质定期检验，以满足检验检测实验需求。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水质分析设备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标的名称：水质分析设备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576"/>
              <w:gridCol w:w="1359"/>
              <w:gridCol w:w="619"/>
            </w:tblGrid>
            <w:tr>
              <w:tc>
                <w:tcPr>
                  <w:tcW w:type="dxa" w:w="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仪器名称</w:t>
                  </w:r>
                </w:p>
              </w:tc>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水汽中痕量</w:t>
                  </w:r>
                  <w:r>
                    <w:rPr>
                      <w:rFonts w:ascii="仿宋_GB2312" w:hAnsi="仿宋_GB2312" w:cs="仿宋_GB2312" w:eastAsia="仿宋_GB2312"/>
                      <w:sz w:val="24"/>
                    </w:rPr>
                    <w:t>TOCi 分析仪</w:t>
                  </w:r>
                </w:p>
              </w:tc>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移动式脱气氢电导率表</w:t>
                  </w:r>
                </w:p>
              </w:tc>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pPr>
            <w:r>
              <w:rPr>
                <w:rFonts w:ascii="仿宋_GB2312" w:hAnsi="仿宋_GB2312" w:cs="仿宋_GB2312" w:eastAsia="仿宋_GB2312"/>
                <w:sz w:val="24"/>
              </w:rPr>
              <w:t>水汽中痕量</w:t>
            </w:r>
            <w:r>
              <w:rPr>
                <w:rFonts w:ascii="仿宋_GB2312" w:hAnsi="仿宋_GB2312" w:cs="仿宋_GB2312" w:eastAsia="仿宋_GB2312"/>
                <w:sz w:val="24"/>
              </w:rPr>
              <w:t>TOCi 分析仪</w:t>
            </w:r>
          </w:p>
          <w:p>
            <w:pPr>
              <w:pStyle w:val="null3"/>
              <w:jc w:val="both"/>
            </w:pPr>
            <w:r>
              <w:rPr>
                <w:rFonts w:ascii="仿宋_GB2312" w:hAnsi="仿宋_GB2312" w:cs="仿宋_GB2312" w:eastAsia="仿宋_GB2312"/>
                <w:sz w:val="24"/>
                <w:b/>
              </w:rPr>
              <w:t>一、性能及参数要求</w:t>
            </w:r>
          </w:p>
          <w:p>
            <w:pPr>
              <w:pStyle w:val="null3"/>
              <w:ind w:firstLine="420"/>
              <w:jc w:val="both"/>
            </w:pPr>
            <w:r>
              <w:rPr>
                <w:rFonts w:ascii="仿宋_GB2312" w:hAnsi="仿宋_GB2312" w:cs="仿宋_GB2312" w:eastAsia="仿宋_GB2312"/>
                <w:sz w:val="24"/>
              </w:rPr>
              <w:t>1. 测量原理：紫外氧化直接电导率监测，无需添加氧化剂酸等试剂，无需高温氧化；</w:t>
            </w:r>
          </w:p>
          <w:p>
            <w:pPr>
              <w:pStyle w:val="null3"/>
              <w:numPr>
                <w:ilvl w:val="0"/>
                <w:numId w:val="1"/>
              </w:numPr>
              <w:jc w:val="both"/>
            </w:pPr>
            <w:r>
              <w:rPr>
                <w:rFonts w:ascii="仿宋_GB2312" w:hAnsi="仿宋_GB2312" w:cs="仿宋_GB2312" w:eastAsia="仿宋_GB2312"/>
                <w:sz w:val="24"/>
              </w:rPr>
              <w:t>★检测范围：0</w:t>
            </w:r>
            <w:r>
              <w:rPr>
                <w:rFonts w:ascii="仿宋_GB2312" w:hAnsi="仿宋_GB2312" w:cs="仿宋_GB2312" w:eastAsia="仿宋_GB2312"/>
                <w:sz w:val="24"/>
              </w:rPr>
              <w:t>~</w:t>
            </w:r>
            <w:r>
              <w:rPr>
                <w:rFonts w:ascii="仿宋_GB2312" w:hAnsi="仿宋_GB2312" w:cs="仿宋_GB2312" w:eastAsia="仿宋_GB2312"/>
                <w:sz w:val="24"/>
              </w:rPr>
              <w:t>1000μg/L；</w:t>
            </w:r>
          </w:p>
          <w:p>
            <w:pPr>
              <w:pStyle w:val="null3"/>
              <w:numPr>
                <w:ilvl w:val="0"/>
                <w:numId w:val="1"/>
              </w:numPr>
              <w:jc w:val="both"/>
            </w:pPr>
            <w:r>
              <w:rPr>
                <w:rFonts w:ascii="仿宋_GB2312" w:hAnsi="仿宋_GB2312" w:cs="仿宋_GB2312" w:eastAsia="仿宋_GB2312"/>
                <w:sz w:val="24"/>
              </w:rPr>
              <w:t>★测量误差： TOCi含量大于50μg/L时，测量相对误差应小于±10%；</w:t>
            </w:r>
          </w:p>
          <w:p>
            <w:pPr>
              <w:pStyle w:val="null3"/>
              <w:ind w:firstLine="2100"/>
              <w:jc w:val="both"/>
            </w:pPr>
            <w:r>
              <w:rPr>
                <w:rFonts w:ascii="仿宋_GB2312" w:hAnsi="仿宋_GB2312" w:cs="仿宋_GB2312" w:eastAsia="仿宋_GB2312"/>
                <w:sz w:val="24"/>
              </w:rPr>
              <w:t>TOCi含量小于50μg/L时，测量相对误差应小于±20%。</w:t>
            </w:r>
          </w:p>
          <w:p>
            <w:pPr>
              <w:pStyle w:val="null3"/>
              <w:numPr>
                <w:ilvl w:val="0"/>
                <w:numId w:val="1"/>
              </w:numPr>
              <w:jc w:val="both"/>
            </w:pPr>
            <w:r>
              <w:rPr>
                <w:rFonts w:ascii="仿宋_GB2312" w:hAnsi="仿宋_GB2312" w:cs="仿宋_GB2312" w:eastAsia="仿宋_GB2312"/>
                <w:sz w:val="24"/>
              </w:rPr>
              <w:t>★重复性： TOCi含量大于50μg/L时，测量的相对标准偏差小于5%；</w:t>
            </w:r>
          </w:p>
          <w:p>
            <w:pPr>
              <w:pStyle w:val="null3"/>
              <w:ind w:firstLine="1860"/>
              <w:jc w:val="both"/>
            </w:pPr>
            <w:r>
              <w:rPr>
                <w:rFonts w:ascii="仿宋_GB2312" w:hAnsi="仿宋_GB2312" w:cs="仿宋_GB2312" w:eastAsia="仿宋_GB2312"/>
                <w:sz w:val="24"/>
              </w:rPr>
              <w:t>TOCi含量小于50μg/L时，</w:t>
            </w:r>
            <w:r>
              <w:rPr>
                <w:rFonts w:ascii="仿宋_GB2312" w:hAnsi="仿宋_GB2312" w:cs="仿宋_GB2312" w:eastAsia="仿宋_GB2312"/>
                <w:sz w:val="24"/>
              </w:rPr>
              <w:t>测量的标准偏差小于</w:t>
            </w:r>
            <w:r>
              <w:rPr>
                <w:rFonts w:ascii="仿宋_GB2312" w:hAnsi="仿宋_GB2312" w:cs="仿宋_GB2312" w:eastAsia="仿宋_GB2312"/>
                <w:sz w:val="24"/>
              </w:rPr>
              <w:t>10μg/L。</w:t>
            </w:r>
          </w:p>
          <w:p>
            <w:pPr>
              <w:pStyle w:val="null3"/>
              <w:numPr>
                <w:ilvl w:val="0"/>
                <w:numId w:val="1"/>
              </w:numPr>
              <w:jc w:val="both"/>
            </w:pPr>
            <w:r>
              <w:rPr>
                <w:rFonts w:ascii="仿宋_GB2312" w:hAnsi="仿宋_GB2312" w:cs="仿宋_GB2312" w:eastAsia="仿宋_GB2312"/>
                <w:sz w:val="24"/>
              </w:rPr>
              <w:t>适用样品范围：电站锅炉汽水样品；</w:t>
            </w:r>
          </w:p>
          <w:p>
            <w:pPr>
              <w:pStyle w:val="null3"/>
              <w:numPr>
                <w:ilvl w:val="0"/>
                <w:numId w:val="1"/>
              </w:numPr>
              <w:jc w:val="both"/>
            </w:pPr>
            <w:r>
              <w:rPr>
                <w:rFonts w:ascii="仿宋_GB2312" w:hAnsi="仿宋_GB2312" w:cs="仿宋_GB2312" w:eastAsia="仿宋_GB2312"/>
                <w:sz w:val="24"/>
              </w:rPr>
              <w:t>主要技术参数要求：</w:t>
            </w:r>
          </w:p>
          <w:p>
            <w:pPr>
              <w:pStyle w:val="null3"/>
              <w:ind w:firstLine="420"/>
              <w:jc w:val="both"/>
            </w:pPr>
            <w:r>
              <w:rPr>
                <w:rFonts w:ascii="仿宋_GB2312" w:hAnsi="仿宋_GB2312" w:cs="仿宋_GB2312" w:eastAsia="仿宋_GB2312"/>
                <w:sz w:val="24"/>
              </w:rPr>
              <w:t>★（1）设备具有抗碱化剂干扰功能，</w:t>
            </w:r>
            <w:r>
              <w:rPr>
                <w:rFonts w:ascii="仿宋_GB2312" w:hAnsi="仿宋_GB2312" w:cs="仿宋_GB2312" w:eastAsia="仿宋_GB2312"/>
                <w:sz w:val="24"/>
              </w:rPr>
              <w:t>仪表集成自动处理水中氨等碱化剂功能，样品中添加碱化剂对测量数据的影响小于</w:t>
            </w:r>
            <w:r>
              <w:rPr>
                <w:rFonts w:ascii="仿宋_GB2312" w:hAnsi="仿宋_GB2312" w:cs="仿宋_GB2312" w:eastAsia="仿宋_GB2312"/>
                <w:sz w:val="24"/>
              </w:rPr>
              <w:t>10μg/L；</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2）0~1000μg/L范围内为线性校准曲线，线性相关系数达0.999以上；</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样品检测</w:t>
            </w:r>
            <w:r>
              <w:rPr>
                <w:rFonts w:ascii="仿宋_GB2312" w:hAnsi="仿宋_GB2312" w:cs="仿宋_GB2312" w:eastAsia="仿宋_GB2312"/>
                <w:sz w:val="24"/>
              </w:rPr>
              <w:t>标准</w:t>
            </w:r>
            <w:r>
              <w:rPr>
                <w:rFonts w:ascii="仿宋_GB2312" w:hAnsi="仿宋_GB2312" w:cs="仿宋_GB2312" w:eastAsia="仿宋_GB2312"/>
                <w:sz w:val="24"/>
              </w:rPr>
              <w:t>时间：</w:t>
            </w:r>
            <w:r>
              <w:rPr>
                <w:rFonts w:ascii="仿宋_GB2312" w:hAnsi="仿宋_GB2312" w:cs="仿宋_GB2312" w:eastAsia="仿宋_GB2312"/>
                <w:sz w:val="24"/>
              </w:rPr>
              <w:t>≤</w:t>
            </w:r>
            <w:r>
              <w:rPr>
                <w:rFonts w:ascii="仿宋_GB2312" w:hAnsi="仿宋_GB2312" w:cs="仿宋_GB2312" w:eastAsia="仿宋_GB2312"/>
                <w:sz w:val="24"/>
              </w:rPr>
              <w:t>10min，检测时间在5min~30min内可根据检测要求调整</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7. 电源：AC 220V 50Hz；</w:t>
            </w:r>
          </w:p>
          <w:p>
            <w:pPr>
              <w:pStyle w:val="null3"/>
              <w:ind w:firstLine="420"/>
              <w:jc w:val="both"/>
            </w:pPr>
            <w:r>
              <w:rPr>
                <w:rFonts w:ascii="仿宋_GB2312" w:hAnsi="仿宋_GB2312" w:cs="仿宋_GB2312" w:eastAsia="仿宋_GB2312"/>
                <w:sz w:val="24"/>
              </w:rPr>
              <w:t>8. 额定功率：50W ；</w:t>
            </w:r>
          </w:p>
          <w:p>
            <w:pPr>
              <w:pStyle w:val="null3"/>
              <w:ind w:firstLine="420"/>
              <w:jc w:val="both"/>
            </w:pPr>
            <w:r>
              <w:rPr>
                <w:rFonts w:ascii="仿宋_GB2312" w:hAnsi="仿宋_GB2312" w:cs="仿宋_GB2312" w:eastAsia="仿宋_GB2312"/>
                <w:sz w:val="24"/>
              </w:rPr>
              <w:t>9. 尺寸：≤28</w:t>
            </w:r>
            <w:r>
              <w:rPr>
                <w:rFonts w:ascii="仿宋_GB2312" w:hAnsi="仿宋_GB2312" w:cs="仿宋_GB2312" w:eastAsia="仿宋_GB2312"/>
                <w:sz w:val="24"/>
              </w:rPr>
              <w:t>5</w:t>
            </w:r>
            <w:r>
              <w:rPr>
                <w:rFonts w:ascii="仿宋_GB2312" w:hAnsi="仿宋_GB2312" w:cs="仿宋_GB2312" w:eastAsia="仿宋_GB2312"/>
                <w:sz w:val="24"/>
              </w:rPr>
              <w:t>mm×20</w:t>
            </w:r>
            <w:r>
              <w:rPr>
                <w:rFonts w:ascii="仿宋_GB2312" w:hAnsi="仿宋_GB2312" w:cs="仿宋_GB2312" w:eastAsia="仿宋_GB2312"/>
                <w:sz w:val="24"/>
              </w:rPr>
              <w:t>5</w:t>
            </w:r>
            <w:r>
              <w:rPr>
                <w:rFonts w:ascii="仿宋_GB2312" w:hAnsi="仿宋_GB2312" w:cs="仿宋_GB2312" w:eastAsia="仿宋_GB2312"/>
                <w:sz w:val="24"/>
              </w:rPr>
              <w:t>mm×3</w:t>
            </w:r>
            <w:r>
              <w:rPr>
                <w:rFonts w:ascii="仿宋_GB2312" w:hAnsi="仿宋_GB2312" w:cs="仿宋_GB2312" w:eastAsia="仿宋_GB2312"/>
                <w:sz w:val="24"/>
              </w:rPr>
              <w:t>90</w:t>
            </w:r>
            <w:r>
              <w:rPr>
                <w:rFonts w:ascii="仿宋_GB2312" w:hAnsi="仿宋_GB2312" w:cs="仿宋_GB2312" w:eastAsia="仿宋_GB2312"/>
                <w:sz w:val="24"/>
              </w:rPr>
              <w:t>mm；</w:t>
            </w:r>
          </w:p>
          <w:p>
            <w:pPr>
              <w:pStyle w:val="null3"/>
              <w:ind w:firstLine="420"/>
              <w:jc w:val="both"/>
            </w:pPr>
            <w:r>
              <w:rPr>
                <w:rFonts w:ascii="仿宋_GB2312" w:hAnsi="仿宋_GB2312" w:cs="仿宋_GB2312" w:eastAsia="仿宋_GB2312"/>
                <w:sz w:val="24"/>
              </w:rPr>
              <w:t>10</w:t>
            </w:r>
            <w:r>
              <w:rPr>
                <w:rFonts w:ascii="仿宋_GB2312" w:hAnsi="仿宋_GB2312" w:cs="仿宋_GB2312" w:eastAsia="仿宋_GB2312"/>
                <w:sz w:val="24"/>
              </w:rPr>
              <w:t>. 操作温度：10～40℃，温度变化在 ±5℃/d 以内</w:t>
            </w:r>
          </w:p>
          <w:p>
            <w:pPr>
              <w:pStyle w:val="null3"/>
              <w:ind w:firstLine="420"/>
              <w:jc w:val="both"/>
            </w:pPr>
            <w:r>
              <w:rPr>
                <w:rFonts w:ascii="仿宋_GB2312" w:hAnsi="仿宋_GB2312" w:cs="仿宋_GB2312" w:eastAsia="仿宋_GB2312"/>
                <w:sz w:val="24"/>
              </w:rPr>
              <w:t>11</w:t>
            </w:r>
            <w:r>
              <w:rPr>
                <w:rFonts w:ascii="仿宋_GB2312" w:hAnsi="仿宋_GB2312" w:cs="仿宋_GB2312" w:eastAsia="仿宋_GB2312"/>
                <w:sz w:val="24"/>
              </w:rPr>
              <w:t>. 数据显示：触摸屏设计，点阵真彩显示器，人性化的操作界面；</w:t>
            </w:r>
          </w:p>
          <w:p>
            <w:pPr>
              <w:pStyle w:val="null3"/>
              <w:ind w:firstLine="420"/>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仪器取得中华人民共和国制造计量器具型式批准证书（</w:t>
            </w:r>
            <w:r>
              <w:rPr>
                <w:rFonts w:ascii="仿宋_GB2312" w:hAnsi="仿宋_GB2312" w:cs="仿宋_GB2312" w:eastAsia="仿宋_GB2312"/>
                <w:sz w:val="24"/>
              </w:rPr>
              <w:t>CPA）或省级计量单位出具的计量报告，试验技术标准符合《火力发电厂水汽分析方法 总有机碳的测定》（DL/T 1358-2014）中TOCi测量的相关要求。</w:t>
            </w:r>
          </w:p>
          <w:p>
            <w:pPr>
              <w:pStyle w:val="null3"/>
              <w:jc w:val="both"/>
            </w:pPr>
            <w:r>
              <w:rPr>
                <w:rFonts w:ascii="仿宋_GB2312" w:hAnsi="仿宋_GB2312" w:cs="仿宋_GB2312" w:eastAsia="仿宋_GB2312"/>
                <w:sz w:val="24"/>
                <w:b/>
              </w:rPr>
              <w:t>二、配置要求</w:t>
            </w:r>
          </w:p>
          <w:p>
            <w:pPr>
              <w:pStyle w:val="null3"/>
              <w:numPr>
                <w:ilvl w:val="0"/>
                <w:numId w:val="1"/>
              </w:numPr>
              <w:jc w:val="both"/>
            </w:pPr>
            <w:r>
              <w:rPr>
                <w:rFonts w:ascii="仿宋_GB2312" w:hAnsi="仿宋_GB2312" w:cs="仿宋_GB2312" w:eastAsia="仿宋_GB2312"/>
                <w:sz w:val="24"/>
              </w:rPr>
              <w:t>TOCi测定仪主机1</w:t>
            </w:r>
            <w:r>
              <w:rPr>
                <w:rFonts w:ascii="仿宋_GB2312" w:hAnsi="仿宋_GB2312" w:cs="仿宋_GB2312" w:eastAsia="仿宋_GB2312"/>
                <w:sz w:val="24"/>
              </w:rPr>
              <w:t>台</w:t>
            </w:r>
          </w:p>
          <w:p>
            <w:pPr>
              <w:pStyle w:val="null3"/>
              <w:numPr>
                <w:ilvl w:val="0"/>
                <w:numId w:val="1"/>
              </w:numPr>
              <w:jc w:val="both"/>
            </w:pPr>
            <w:r>
              <w:rPr>
                <w:rFonts w:ascii="仿宋_GB2312" w:hAnsi="仿宋_GB2312" w:cs="仿宋_GB2312" w:eastAsia="仿宋_GB2312"/>
                <w:sz w:val="24"/>
              </w:rPr>
              <w:t>样品瓶</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个</w:t>
            </w:r>
          </w:p>
          <w:p>
            <w:pPr>
              <w:pStyle w:val="null3"/>
              <w:numPr>
                <w:ilvl w:val="0"/>
                <w:numId w:val="1"/>
              </w:numPr>
              <w:jc w:val="both"/>
            </w:pPr>
            <w:r>
              <w:rPr>
                <w:rFonts w:ascii="仿宋_GB2312" w:hAnsi="仿宋_GB2312" w:cs="仿宋_GB2312" w:eastAsia="仿宋_GB2312"/>
                <w:sz w:val="24"/>
              </w:rPr>
              <w:t>TOC</w:t>
            </w:r>
            <w:r>
              <w:rPr>
                <w:rFonts w:ascii="仿宋_GB2312" w:hAnsi="仿宋_GB2312" w:cs="仿宋_GB2312" w:eastAsia="仿宋_GB2312"/>
                <w:sz w:val="24"/>
              </w:rPr>
              <w:t>i</w:t>
            </w:r>
            <w:r>
              <w:rPr>
                <w:rFonts w:ascii="仿宋_GB2312" w:hAnsi="仿宋_GB2312" w:cs="仿宋_GB2312" w:eastAsia="仿宋_GB2312"/>
                <w:sz w:val="24"/>
              </w:rPr>
              <w:t>标准（蔗糖）溶液</w:t>
            </w:r>
            <w:r>
              <w:rPr>
                <w:rFonts w:ascii="仿宋_GB2312" w:hAnsi="仿宋_GB2312" w:cs="仿宋_GB2312" w:eastAsia="仿宋_GB2312"/>
                <w:sz w:val="24"/>
              </w:rPr>
              <w:t>100mL1</w:t>
            </w:r>
            <w:r>
              <w:rPr>
                <w:rFonts w:ascii="仿宋_GB2312" w:hAnsi="仿宋_GB2312" w:cs="仿宋_GB2312" w:eastAsia="仿宋_GB2312"/>
                <w:sz w:val="24"/>
              </w:rPr>
              <w:t>瓶</w:t>
            </w:r>
          </w:p>
          <w:p>
            <w:pPr>
              <w:pStyle w:val="null3"/>
              <w:numPr>
                <w:ilvl w:val="0"/>
                <w:numId w:val="1"/>
              </w:numPr>
              <w:jc w:val="both"/>
            </w:pPr>
            <w:r>
              <w:rPr>
                <w:rFonts w:ascii="仿宋_GB2312" w:hAnsi="仿宋_GB2312" w:cs="仿宋_GB2312" w:eastAsia="仿宋_GB2312"/>
                <w:sz w:val="24"/>
              </w:rPr>
              <w:t>50微米过滤头</w:t>
            </w:r>
            <w:r>
              <w:rPr>
                <w:rFonts w:ascii="仿宋_GB2312" w:hAnsi="仿宋_GB2312" w:cs="仿宋_GB2312" w:eastAsia="仿宋_GB2312"/>
                <w:sz w:val="24"/>
              </w:rPr>
              <w:t>10个</w:t>
            </w:r>
          </w:p>
          <w:p>
            <w:pPr>
              <w:pStyle w:val="null3"/>
              <w:numPr>
                <w:ilvl w:val="0"/>
                <w:numId w:val="1"/>
              </w:numPr>
              <w:jc w:val="both"/>
            </w:pPr>
            <w:r>
              <w:rPr>
                <w:rFonts w:ascii="仿宋_GB2312" w:hAnsi="仿宋_GB2312" w:cs="仿宋_GB2312" w:eastAsia="仿宋_GB2312"/>
                <w:sz w:val="24"/>
              </w:rPr>
              <w:t>空气过滤头</w:t>
            </w:r>
            <w:r>
              <w:rPr>
                <w:rFonts w:ascii="仿宋_GB2312" w:hAnsi="仿宋_GB2312" w:cs="仿宋_GB2312" w:eastAsia="仿宋_GB2312"/>
                <w:sz w:val="24"/>
              </w:rPr>
              <w:t>10</w:t>
            </w:r>
            <w:r>
              <w:rPr>
                <w:rFonts w:ascii="仿宋_GB2312" w:hAnsi="仿宋_GB2312" w:cs="仿宋_GB2312" w:eastAsia="仿宋_GB2312"/>
                <w:sz w:val="24"/>
              </w:rPr>
              <w:t>个</w:t>
            </w:r>
          </w:p>
          <w:p>
            <w:pPr>
              <w:pStyle w:val="null3"/>
              <w:numPr>
                <w:ilvl w:val="0"/>
                <w:numId w:val="1"/>
              </w:numPr>
              <w:jc w:val="both"/>
            </w:pPr>
            <w:r>
              <w:rPr>
                <w:rFonts w:ascii="仿宋_GB2312" w:hAnsi="仿宋_GB2312" w:cs="仿宋_GB2312" w:eastAsia="仿宋_GB2312"/>
                <w:sz w:val="24"/>
              </w:rPr>
              <w:t>进样专用瓶盖</w:t>
            </w:r>
            <w:r>
              <w:rPr>
                <w:rFonts w:ascii="仿宋_GB2312" w:hAnsi="仿宋_GB2312" w:cs="仿宋_GB2312" w:eastAsia="仿宋_GB2312"/>
                <w:sz w:val="24"/>
              </w:rPr>
              <w:t>2</w:t>
            </w:r>
            <w:r>
              <w:rPr>
                <w:rFonts w:ascii="仿宋_GB2312" w:hAnsi="仿宋_GB2312" w:cs="仿宋_GB2312" w:eastAsia="仿宋_GB2312"/>
                <w:sz w:val="24"/>
              </w:rPr>
              <w:t>个</w:t>
            </w:r>
          </w:p>
          <w:p>
            <w:pPr>
              <w:pStyle w:val="null3"/>
              <w:numPr>
                <w:ilvl w:val="0"/>
                <w:numId w:val="1"/>
              </w:numPr>
              <w:jc w:val="both"/>
            </w:pPr>
            <w:r>
              <w:rPr>
                <w:rFonts w:ascii="仿宋_GB2312" w:hAnsi="仿宋_GB2312" w:cs="仿宋_GB2312" w:eastAsia="仿宋_GB2312"/>
                <w:sz w:val="24"/>
              </w:rPr>
              <w:t>移液枪</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numPr>
                <w:ilvl w:val="0"/>
                <w:numId w:val="1"/>
              </w:numPr>
              <w:jc w:val="both"/>
            </w:pPr>
            <w:r>
              <w:rPr>
                <w:rFonts w:ascii="仿宋_GB2312" w:hAnsi="仿宋_GB2312" w:cs="仿宋_GB2312" w:eastAsia="仿宋_GB2312"/>
                <w:sz w:val="24"/>
              </w:rPr>
              <w:t>随机资料（</w:t>
            </w:r>
            <w:r>
              <w:rPr>
                <w:rFonts w:ascii="仿宋_GB2312" w:hAnsi="仿宋_GB2312" w:cs="仿宋_GB2312" w:eastAsia="仿宋_GB2312"/>
                <w:sz w:val="24"/>
              </w:rPr>
              <w:t>使用说明和维护手册</w:t>
            </w:r>
            <w:r>
              <w:rPr>
                <w:rFonts w:ascii="仿宋_GB2312" w:hAnsi="仿宋_GB2312" w:cs="仿宋_GB2312" w:eastAsia="仿宋_GB2312"/>
                <w:sz w:val="24"/>
              </w:rPr>
              <w:t>）</w:t>
            </w:r>
            <w:r>
              <w:rPr>
                <w:rFonts w:ascii="仿宋_GB2312" w:hAnsi="仿宋_GB2312" w:cs="仿宋_GB2312" w:eastAsia="仿宋_GB2312"/>
                <w:sz w:val="24"/>
              </w:rPr>
              <w:t>1套</w:t>
            </w:r>
          </w:p>
          <w:p>
            <w:pPr>
              <w:pStyle w:val="null3"/>
              <w:numPr>
                <w:ilvl w:val="0"/>
                <w:numId w:val="1"/>
              </w:numPr>
              <w:jc w:val="both"/>
            </w:pPr>
            <w:r>
              <w:rPr>
                <w:rFonts w:ascii="仿宋_GB2312" w:hAnsi="仿宋_GB2312" w:cs="仿宋_GB2312" w:eastAsia="仿宋_GB2312"/>
                <w:sz w:val="24"/>
              </w:rPr>
              <w:t>省级及以上机构出具的检定或校准证书</w:t>
            </w:r>
            <w:r>
              <w:rPr>
                <w:rFonts w:ascii="仿宋_GB2312" w:hAnsi="仿宋_GB2312" w:cs="仿宋_GB2312" w:eastAsia="仿宋_GB2312"/>
                <w:sz w:val="24"/>
              </w:rPr>
              <w:t>1份</w:t>
            </w:r>
          </w:p>
          <w:p>
            <w:pPr>
              <w:pStyle w:val="null3"/>
              <w:jc w:val="both"/>
            </w:pP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移动式脱气氢电导率表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一、功能要求</w:t>
            </w:r>
          </w:p>
          <w:p>
            <w:pPr>
              <w:pStyle w:val="null3"/>
              <w:ind w:firstLine="480"/>
              <w:jc w:val="both"/>
            </w:pPr>
            <w:r>
              <w:rPr>
                <w:rFonts w:ascii="仿宋_GB2312" w:hAnsi="仿宋_GB2312" w:cs="仿宋_GB2312" w:eastAsia="仿宋_GB2312"/>
                <w:sz w:val="24"/>
              </w:rPr>
              <w:t>整体尺寸不大于</w:t>
            </w:r>
            <w:r>
              <w:rPr>
                <w:rFonts w:ascii="仿宋_GB2312" w:hAnsi="仿宋_GB2312" w:cs="仿宋_GB2312" w:eastAsia="仿宋_GB2312"/>
                <w:sz w:val="24"/>
              </w:rPr>
              <w:t>0.4m</w:t>
            </w:r>
            <w:r>
              <w:rPr>
                <w:rFonts w:ascii="仿宋_GB2312" w:hAnsi="仿宋_GB2312" w:cs="仿宋_GB2312" w:eastAsia="仿宋_GB2312"/>
                <w:sz w:val="24"/>
                <w:vertAlign w:val="superscript"/>
              </w:rPr>
              <w:t>3</w:t>
            </w:r>
            <w:r>
              <w:rPr>
                <w:rFonts w:ascii="仿宋_GB2312" w:hAnsi="仿宋_GB2312" w:cs="仿宋_GB2312" w:eastAsia="仿宋_GB2312"/>
                <w:sz w:val="24"/>
              </w:rPr>
              <w:t>，带滚轮，可随时移动到现场不同测点，人工取样口接入水即可测量。仪器由蓄电池供电且可随时充电，在无外接电源情况下可连续运行</w:t>
            </w:r>
            <w:r>
              <w:rPr>
                <w:rFonts w:ascii="仿宋_GB2312" w:hAnsi="仿宋_GB2312" w:cs="仿宋_GB2312" w:eastAsia="仿宋_GB2312"/>
                <w:sz w:val="24"/>
              </w:rPr>
              <w:t>10h以上。一台仪器可同时测量脱气氢电导率、氢电导率、电导率、pH、铵根</w:t>
            </w:r>
            <w:r>
              <w:rPr>
                <w:rFonts w:ascii="仿宋_GB2312" w:hAnsi="仿宋_GB2312" w:cs="仿宋_GB2312" w:eastAsia="仿宋_GB2312"/>
                <w:sz w:val="24"/>
              </w:rPr>
              <w:t>及溶解氧</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二、参数要求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 xml:space="preserve">1. </w:t>
            </w:r>
            <w:r>
              <w:rPr>
                <w:rFonts w:ascii="仿宋_GB2312" w:hAnsi="仿宋_GB2312" w:cs="仿宋_GB2312" w:eastAsia="仿宋_GB2312"/>
                <w:sz w:val="24"/>
              </w:rPr>
              <w:t>氢电导率测量采用电再生阳离子交换技术去除阳离子：无需定期更换或再生树脂；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 xml:space="preserve">2. </w:t>
            </w:r>
            <w:r>
              <w:rPr>
                <w:rFonts w:ascii="仿宋_GB2312" w:hAnsi="仿宋_GB2312" w:cs="仿宋_GB2312" w:eastAsia="仿宋_GB2312"/>
                <w:sz w:val="24"/>
              </w:rPr>
              <w:t>脱气氢电导率的测量值可与标准值进行比对（实验室配制</w:t>
            </w:r>
            <w:r>
              <w:rPr>
                <w:rFonts w:ascii="仿宋_GB2312" w:hAnsi="仿宋_GB2312" w:cs="仿宋_GB2312" w:eastAsia="仿宋_GB2312"/>
                <w:sz w:val="24"/>
              </w:rPr>
              <w:t>20微克每升氯离子（用氯化钠配制）溶液测量的脱气氢电导率与标准值0.25µs/cm偏差不大于0.05µs/cm）；</w:t>
            </w:r>
          </w:p>
          <w:p>
            <w:pPr>
              <w:pStyle w:val="null3"/>
              <w:numPr>
                <w:ilvl w:val="0"/>
                <w:numId w:val="1"/>
              </w:numPr>
              <w:jc w:val="both"/>
            </w:pPr>
            <w:r>
              <w:rPr>
                <w:rFonts w:ascii="仿宋_GB2312" w:hAnsi="仿宋_GB2312" w:cs="仿宋_GB2312" w:eastAsia="仿宋_GB2312"/>
                <w:sz w:val="24"/>
              </w:rPr>
              <w:t>pH有两种测量方式，即：计算型pH（适用于“纯水+氨”等三种已知水质体系pH的测量，测量范围8.0～10.5pH）、电位式pH（测量范围0～14pH）。</w:t>
            </w:r>
          </w:p>
          <w:p>
            <w:pPr>
              <w:pStyle w:val="null3"/>
              <w:ind w:firstLine="480"/>
              <w:jc w:val="both"/>
            </w:pPr>
            <w:r>
              <w:rPr>
                <w:rFonts w:ascii="仿宋_GB2312" w:hAnsi="仿宋_GB2312" w:cs="仿宋_GB2312" w:eastAsia="仿宋_GB2312"/>
                <w:sz w:val="24"/>
              </w:rPr>
              <w:t xml:space="preserve">4. </w:t>
            </w:r>
            <w:r>
              <w:rPr>
                <w:rFonts w:ascii="仿宋_GB2312" w:hAnsi="仿宋_GB2312" w:cs="仿宋_GB2312" w:eastAsia="仿宋_GB2312"/>
                <w:sz w:val="24"/>
              </w:rPr>
              <w:t>采用双水膜电导法脱气原理进行测量；无需加热，在常温常压条件下即可精确测量出水样脱气氢电导率；</w:t>
            </w:r>
          </w:p>
          <w:p>
            <w:pPr>
              <w:pStyle w:val="null3"/>
              <w:numPr>
                <w:ilvl w:val="0"/>
                <w:numId w:val="1"/>
              </w:numPr>
              <w:jc w:val="both"/>
            </w:pPr>
            <w:r>
              <w:rPr>
                <w:rFonts w:ascii="仿宋_GB2312" w:hAnsi="仿宋_GB2312" w:cs="仿宋_GB2312" w:eastAsia="仿宋_GB2312"/>
                <w:sz w:val="24"/>
              </w:rPr>
              <w:t>电导率、氢电导率、脱气氢电导率测量具备自动非线性温度补偿功能，可实现不同温度、水质条件下电导率的精准测量（即：高纯水介质、氨性介质、强碱性介质、强酸性介质、中性盐（</w:t>
            </w:r>
            <w:r>
              <w:rPr>
                <w:rFonts w:ascii="仿宋_GB2312" w:hAnsi="仿宋_GB2312" w:cs="仿宋_GB2312" w:eastAsia="仿宋_GB2312"/>
                <w:sz w:val="24"/>
              </w:rPr>
              <w:t>NaCl）介质、线性温度补偿（可自行设置）、不补偿），温度补偿范围：5～50℃；</w:t>
            </w:r>
          </w:p>
          <w:p>
            <w:pPr>
              <w:pStyle w:val="null3"/>
              <w:numPr>
                <w:ilvl w:val="0"/>
                <w:numId w:val="1"/>
              </w:numPr>
              <w:jc w:val="both"/>
            </w:pPr>
            <w:r>
              <w:rPr>
                <w:rFonts w:ascii="仿宋_GB2312" w:hAnsi="仿宋_GB2312" w:cs="仿宋_GB2312" w:eastAsia="仿宋_GB2312"/>
                <w:sz w:val="24"/>
              </w:rPr>
              <w:t>电导率测量参数</w:t>
            </w:r>
          </w:p>
          <w:p>
            <w:pPr>
              <w:pStyle w:val="null3"/>
              <w:ind w:firstLine="420"/>
              <w:jc w:val="both"/>
            </w:pPr>
            <w:r>
              <w:rPr>
                <w:rFonts w:ascii="仿宋_GB2312" w:hAnsi="仿宋_GB2312" w:cs="仿宋_GB2312" w:eastAsia="仿宋_GB2312"/>
                <w:sz w:val="24"/>
              </w:rPr>
              <w:t>测量范围：</w:t>
            </w:r>
            <w:r>
              <w:rPr>
                <w:rFonts w:ascii="仿宋_GB2312" w:hAnsi="仿宋_GB2312" w:cs="仿宋_GB2312" w:eastAsia="仿宋_GB2312"/>
                <w:sz w:val="24"/>
              </w:rPr>
              <w:t>0.055～50.000μS/cm；</w:t>
            </w:r>
          </w:p>
          <w:p>
            <w:pPr>
              <w:pStyle w:val="null3"/>
              <w:ind w:firstLine="420"/>
              <w:jc w:val="both"/>
            </w:pP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0.001μS/cm；</w:t>
            </w:r>
          </w:p>
          <w:p>
            <w:pPr>
              <w:pStyle w:val="null3"/>
              <w:ind w:firstLine="420"/>
              <w:jc w:val="both"/>
            </w:pPr>
            <w:r>
              <w:rPr>
                <w:rFonts w:ascii="仿宋_GB2312" w:hAnsi="仿宋_GB2312" w:cs="仿宋_GB2312" w:eastAsia="仿宋_GB2312"/>
                <w:sz w:val="24"/>
              </w:rPr>
              <w:t>工作误差：不大于</w:t>
            </w:r>
            <w:r>
              <w:rPr>
                <w:rFonts w:ascii="仿宋_GB2312" w:hAnsi="仿宋_GB2312" w:cs="仿宋_GB2312" w:eastAsia="仿宋_GB2312"/>
                <w:sz w:val="24"/>
              </w:rPr>
              <w:t>±10%。</w:t>
            </w:r>
          </w:p>
          <w:p>
            <w:pPr>
              <w:pStyle w:val="null3"/>
              <w:numPr>
                <w:ilvl w:val="0"/>
                <w:numId w:val="1"/>
              </w:numPr>
              <w:jc w:val="both"/>
            </w:pPr>
            <w:r>
              <w:rPr>
                <w:rFonts w:ascii="仿宋_GB2312" w:hAnsi="仿宋_GB2312" w:cs="仿宋_GB2312" w:eastAsia="仿宋_GB2312"/>
                <w:sz w:val="24"/>
              </w:rPr>
              <w:t>★氢电导率测量参数</w:t>
            </w:r>
          </w:p>
          <w:p>
            <w:pPr>
              <w:pStyle w:val="null3"/>
              <w:ind w:firstLine="420"/>
              <w:jc w:val="both"/>
            </w:pPr>
            <w:r>
              <w:rPr>
                <w:rFonts w:ascii="仿宋_GB2312" w:hAnsi="仿宋_GB2312" w:cs="仿宋_GB2312" w:eastAsia="仿宋_GB2312"/>
                <w:sz w:val="24"/>
              </w:rPr>
              <w:t>测量范围：</w:t>
            </w:r>
            <w:r>
              <w:rPr>
                <w:rFonts w:ascii="仿宋_GB2312" w:hAnsi="仿宋_GB2312" w:cs="仿宋_GB2312" w:eastAsia="仿宋_GB2312"/>
                <w:sz w:val="24"/>
              </w:rPr>
              <w:t>0.055～5.000μS/cm；</w:t>
            </w:r>
          </w:p>
          <w:p>
            <w:pPr>
              <w:pStyle w:val="null3"/>
              <w:ind w:firstLine="420"/>
              <w:jc w:val="both"/>
            </w:pP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0.001μS/cm；</w:t>
            </w:r>
          </w:p>
          <w:p>
            <w:pPr>
              <w:pStyle w:val="null3"/>
              <w:ind w:firstLine="420"/>
              <w:jc w:val="both"/>
            </w:pPr>
            <w:r>
              <w:rPr>
                <w:rFonts w:ascii="仿宋_GB2312" w:hAnsi="仿宋_GB2312" w:cs="仿宋_GB2312" w:eastAsia="仿宋_GB2312"/>
                <w:sz w:val="24"/>
              </w:rPr>
              <w:t>工作误差：不大于</w:t>
            </w:r>
            <w:r>
              <w:rPr>
                <w:rFonts w:ascii="仿宋_GB2312" w:hAnsi="仿宋_GB2312" w:cs="仿宋_GB2312" w:eastAsia="仿宋_GB2312"/>
                <w:sz w:val="24"/>
              </w:rPr>
              <w:t>±10%。</w:t>
            </w:r>
          </w:p>
          <w:p>
            <w:pPr>
              <w:pStyle w:val="null3"/>
              <w:numPr>
                <w:ilvl w:val="0"/>
                <w:numId w:val="1"/>
              </w:numPr>
              <w:jc w:val="both"/>
            </w:pPr>
            <w:r>
              <w:rPr>
                <w:rFonts w:ascii="仿宋_GB2312" w:hAnsi="仿宋_GB2312" w:cs="仿宋_GB2312" w:eastAsia="仿宋_GB2312"/>
                <w:sz w:val="24"/>
              </w:rPr>
              <w:t>★pH测量参数</w:t>
            </w:r>
          </w:p>
          <w:p>
            <w:pPr>
              <w:pStyle w:val="null3"/>
              <w:ind w:firstLine="420"/>
              <w:jc w:val="both"/>
            </w:pPr>
            <w:r>
              <w:rPr>
                <w:rFonts w:ascii="仿宋_GB2312" w:hAnsi="仿宋_GB2312" w:cs="仿宋_GB2312" w:eastAsia="仿宋_GB2312"/>
                <w:sz w:val="24"/>
              </w:rPr>
              <w:t>测量范围：</w:t>
            </w:r>
            <w:r>
              <w:rPr>
                <w:rFonts w:ascii="仿宋_GB2312" w:hAnsi="仿宋_GB2312" w:cs="仿宋_GB2312" w:eastAsia="仿宋_GB2312"/>
                <w:sz w:val="24"/>
              </w:rPr>
              <w:t>0～14pH；</w:t>
            </w:r>
          </w:p>
          <w:p>
            <w:pPr>
              <w:pStyle w:val="null3"/>
              <w:ind w:firstLine="420"/>
              <w:jc w:val="both"/>
            </w:pP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0.01pH；</w:t>
            </w:r>
          </w:p>
          <w:p>
            <w:pPr>
              <w:pStyle w:val="null3"/>
              <w:ind w:firstLine="420"/>
              <w:jc w:val="both"/>
            </w:pPr>
            <w:r>
              <w:rPr>
                <w:rFonts w:ascii="仿宋_GB2312" w:hAnsi="仿宋_GB2312" w:cs="仿宋_GB2312" w:eastAsia="仿宋_GB2312"/>
                <w:sz w:val="24"/>
              </w:rPr>
              <w:t>工作误差：不大于</w:t>
            </w:r>
            <w:r>
              <w:rPr>
                <w:rFonts w:ascii="仿宋_GB2312" w:hAnsi="仿宋_GB2312" w:cs="仿宋_GB2312" w:eastAsia="仿宋_GB2312"/>
                <w:sz w:val="24"/>
              </w:rPr>
              <w:t>±0.05pH。</w:t>
            </w:r>
          </w:p>
          <w:p>
            <w:pPr>
              <w:pStyle w:val="null3"/>
              <w:numPr>
                <w:ilvl w:val="0"/>
                <w:numId w:val="1"/>
              </w:numPr>
              <w:jc w:val="both"/>
            </w:pPr>
            <w:r>
              <w:rPr>
                <w:rFonts w:ascii="仿宋_GB2312" w:hAnsi="仿宋_GB2312" w:cs="仿宋_GB2312" w:eastAsia="仿宋_GB2312"/>
                <w:sz w:val="24"/>
              </w:rPr>
              <w:t>★脱气氢电导率测量参数</w:t>
            </w:r>
          </w:p>
          <w:p>
            <w:pPr>
              <w:pStyle w:val="null3"/>
              <w:ind w:firstLine="420"/>
              <w:jc w:val="both"/>
            </w:pPr>
            <w:r>
              <w:rPr>
                <w:rFonts w:ascii="仿宋_GB2312" w:hAnsi="仿宋_GB2312" w:cs="仿宋_GB2312" w:eastAsia="仿宋_GB2312"/>
                <w:sz w:val="24"/>
              </w:rPr>
              <w:t>测量范围：</w:t>
            </w:r>
            <w:r>
              <w:rPr>
                <w:rFonts w:ascii="仿宋_GB2312" w:hAnsi="仿宋_GB2312" w:cs="仿宋_GB2312" w:eastAsia="仿宋_GB2312"/>
                <w:sz w:val="24"/>
              </w:rPr>
              <w:t>0.055～2.000μS/cm；</w:t>
            </w:r>
          </w:p>
          <w:p>
            <w:pPr>
              <w:pStyle w:val="null3"/>
              <w:ind w:firstLine="420"/>
              <w:jc w:val="both"/>
            </w:pP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0.001μS/cm；</w:t>
            </w:r>
          </w:p>
          <w:p>
            <w:pPr>
              <w:pStyle w:val="null3"/>
              <w:ind w:firstLine="420"/>
              <w:jc w:val="both"/>
            </w:pPr>
            <w:r>
              <w:rPr>
                <w:rFonts w:ascii="仿宋_GB2312" w:hAnsi="仿宋_GB2312" w:cs="仿宋_GB2312" w:eastAsia="仿宋_GB2312"/>
                <w:sz w:val="24"/>
              </w:rPr>
              <w:t>工作误差：不大于</w:t>
            </w:r>
            <w:r>
              <w:rPr>
                <w:rFonts w:ascii="仿宋_GB2312" w:hAnsi="仿宋_GB2312" w:cs="仿宋_GB2312" w:eastAsia="仿宋_GB2312"/>
                <w:sz w:val="24"/>
              </w:rPr>
              <w:t>±10%。</w:t>
            </w:r>
          </w:p>
          <w:p>
            <w:pPr>
              <w:pStyle w:val="null3"/>
              <w:numPr>
                <w:ilvl w:val="0"/>
                <w:numId w:val="1"/>
              </w:numPr>
              <w:jc w:val="both"/>
            </w:pPr>
            <w:r>
              <w:rPr>
                <w:rFonts w:ascii="仿宋_GB2312" w:hAnsi="仿宋_GB2312" w:cs="仿宋_GB2312" w:eastAsia="仿宋_GB2312"/>
                <w:sz w:val="24"/>
              </w:rPr>
              <w:t>铵根测量参数</w:t>
            </w:r>
          </w:p>
          <w:p>
            <w:pPr>
              <w:pStyle w:val="null3"/>
              <w:ind w:firstLine="420"/>
              <w:jc w:val="both"/>
            </w:pPr>
            <w:r>
              <w:rPr>
                <w:rFonts w:ascii="仿宋_GB2312" w:hAnsi="仿宋_GB2312" w:cs="仿宋_GB2312" w:eastAsia="仿宋_GB2312"/>
                <w:sz w:val="24"/>
              </w:rPr>
              <w:t>测量范围：</w:t>
            </w:r>
            <w:r>
              <w:rPr>
                <w:rFonts w:ascii="仿宋_GB2312" w:hAnsi="仿宋_GB2312" w:cs="仿宋_GB2312" w:eastAsia="仿宋_GB2312"/>
                <w:sz w:val="24"/>
              </w:rPr>
              <w:t>0.01～35mg/L；</w:t>
            </w:r>
          </w:p>
          <w:p>
            <w:pPr>
              <w:pStyle w:val="null3"/>
              <w:ind w:firstLine="420"/>
              <w:jc w:val="both"/>
            </w:pP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0.01mg；</w:t>
            </w:r>
          </w:p>
          <w:p>
            <w:pPr>
              <w:pStyle w:val="null3"/>
              <w:ind w:firstLine="420"/>
              <w:jc w:val="both"/>
            </w:pPr>
            <w:r>
              <w:rPr>
                <w:rFonts w:ascii="仿宋_GB2312" w:hAnsi="仿宋_GB2312" w:cs="仿宋_GB2312" w:eastAsia="仿宋_GB2312"/>
                <w:sz w:val="24"/>
              </w:rPr>
              <w:t>工作误差：</w:t>
            </w:r>
            <w:r>
              <w:rPr>
                <w:rFonts w:ascii="仿宋_GB2312" w:hAnsi="仿宋_GB2312" w:cs="仿宋_GB2312" w:eastAsia="仿宋_GB2312"/>
                <w:sz w:val="24"/>
              </w:rPr>
              <w:t>±0.01mg/L。</w:t>
            </w:r>
          </w:p>
          <w:p>
            <w:pPr>
              <w:pStyle w:val="null3"/>
              <w:numPr>
                <w:ilvl w:val="0"/>
                <w:numId w:val="1"/>
              </w:numPr>
              <w:jc w:val="both"/>
            </w:pPr>
            <w:r>
              <w:rPr>
                <w:rFonts w:ascii="仿宋_GB2312" w:hAnsi="仿宋_GB2312" w:cs="仿宋_GB2312" w:eastAsia="仿宋_GB2312"/>
                <w:sz w:val="24"/>
              </w:rPr>
              <w:t>★溶解氧测量参数</w:t>
            </w:r>
          </w:p>
          <w:p>
            <w:pPr>
              <w:pStyle w:val="null3"/>
              <w:ind w:firstLine="420"/>
              <w:jc w:val="both"/>
            </w:pPr>
            <w:r>
              <w:rPr>
                <w:rFonts w:ascii="仿宋_GB2312" w:hAnsi="仿宋_GB2312" w:cs="仿宋_GB2312" w:eastAsia="仿宋_GB2312"/>
                <w:sz w:val="24"/>
              </w:rPr>
              <w:t>测量范围：</w:t>
            </w:r>
            <w:r>
              <w:rPr>
                <w:rFonts w:ascii="仿宋_GB2312" w:hAnsi="仿宋_GB2312" w:cs="仿宋_GB2312" w:eastAsia="仿宋_GB2312"/>
                <w:sz w:val="24"/>
              </w:rPr>
              <w:t>0～20mg/L，全量程范围根据水样溶解氧含量自动切换；</w:t>
            </w:r>
          </w:p>
          <w:p>
            <w:pPr>
              <w:pStyle w:val="null3"/>
              <w:ind w:firstLine="420"/>
              <w:jc w:val="both"/>
            </w:pPr>
            <w:r>
              <w:rPr>
                <w:rFonts w:ascii="仿宋_GB2312" w:hAnsi="仿宋_GB2312" w:cs="仿宋_GB2312" w:eastAsia="仿宋_GB2312"/>
                <w:sz w:val="24"/>
              </w:rPr>
              <w:t>精确度：</w:t>
            </w:r>
            <w:r>
              <w:rPr>
                <w:rFonts w:ascii="仿宋_GB2312" w:hAnsi="仿宋_GB2312" w:cs="仿宋_GB2312" w:eastAsia="仿宋_GB2312"/>
                <w:sz w:val="24"/>
              </w:rPr>
              <w:t>≤</w:t>
            </w:r>
            <w:r>
              <w:rPr>
                <w:rFonts w:ascii="仿宋_GB2312" w:hAnsi="仿宋_GB2312" w:cs="仿宋_GB2312" w:eastAsia="仿宋_GB2312"/>
                <w:sz w:val="24"/>
              </w:rPr>
              <w:t>±3%；</w:t>
            </w:r>
          </w:p>
          <w:p>
            <w:pPr>
              <w:pStyle w:val="null3"/>
              <w:ind w:firstLine="420"/>
              <w:jc w:val="both"/>
            </w:pP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0.1μg/L；</w:t>
            </w:r>
          </w:p>
          <w:p>
            <w:pPr>
              <w:pStyle w:val="null3"/>
              <w:ind w:firstLine="420"/>
              <w:jc w:val="both"/>
            </w:pPr>
            <w:r>
              <w:rPr>
                <w:rFonts w:ascii="仿宋_GB2312" w:hAnsi="仿宋_GB2312" w:cs="仿宋_GB2312" w:eastAsia="仿宋_GB2312"/>
                <w:sz w:val="24"/>
              </w:rPr>
              <w:t>支持单点标定、两点标定，两点标定保证低浓度氧测量准确性；</w:t>
            </w:r>
          </w:p>
          <w:p>
            <w:pPr>
              <w:pStyle w:val="null3"/>
              <w:ind w:firstLine="420"/>
              <w:jc w:val="both"/>
            </w:pPr>
            <w:r>
              <w:rPr>
                <w:rFonts w:ascii="仿宋_GB2312" w:hAnsi="仿宋_GB2312" w:cs="仿宋_GB2312" w:eastAsia="仿宋_GB2312"/>
                <w:sz w:val="24"/>
              </w:rPr>
              <w:t>支持无氧水标定零点。</w:t>
            </w:r>
          </w:p>
          <w:p>
            <w:pPr>
              <w:pStyle w:val="null3"/>
              <w:jc w:val="both"/>
            </w:pPr>
            <w:r>
              <w:rPr>
                <w:rFonts w:ascii="仿宋_GB2312" w:hAnsi="仿宋_GB2312" w:cs="仿宋_GB2312" w:eastAsia="仿宋_GB2312"/>
                <w:sz w:val="24"/>
                <w:b/>
              </w:rPr>
              <w:t>三、配置要求</w:t>
            </w:r>
          </w:p>
          <w:p>
            <w:pPr>
              <w:pStyle w:val="null3"/>
              <w:numPr>
                <w:ilvl w:val="0"/>
                <w:numId w:val="1"/>
              </w:numPr>
              <w:jc w:val="both"/>
            </w:pPr>
            <w:r>
              <w:rPr>
                <w:rFonts w:ascii="仿宋_GB2312" w:hAnsi="仿宋_GB2312" w:cs="仿宋_GB2312" w:eastAsia="仿宋_GB2312"/>
                <w:sz w:val="24"/>
              </w:rPr>
              <w:t>移动式脱气氢电导率表</w:t>
            </w:r>
            <w:r>
              <w:rPr>
                <w:rFonts w:ascii="仿宋_GB2312" w:hAnsi="仿宋_GB2312" w:cs="仿宋_GB2312" w:eastAsia="仿宋_GB2312"/>
                <w:sz w:val="24"/>
              </w:rPr>
              <w:t>主机</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numPr>
                <w:ilvl w:val="0"/>
                <w:numId w:val="1"/>
              </w:numPr>
              <w:jc w:val="both"/>
            </w:pPr>
            <w:r>
              <w:rPr>
                <w:rFonts w:ascii="仿宋_GB2312" w:hAnsi="仿宋_GB2312" w:cs="仿宋_GB2312" w:eastAsia="仿宋_GB2312"/>
                <w:sz w:val="24"/>
              </w:rPr>
              <w:t>充电器</w:t>
            </w:r>
            <w:r>
              <w:rPr>
                <w:rFonts w:ascii="仿宋_GB2312" w:hAnsi="仿宋_GB2312" w:cs="仿宋_GB2312" w:eastAsia="仿宋_GB2312"/>
                <w:sz w:val="24"/>
              </w:rPr>
              <w:t>1个</w:t>
            </w:r>
          </w:p>
          <w:p>
            <w:pPr>
              <w:pStyle w:val="null3"/>
              <w:numPr>
                <w:ilvl w:val="0"/>
                <w:numId w:val="1"/>
              </w:numPr>
              <w:jc w:val="both"/>
            </w:pPr>
            <w:r>
              <w:rPr>
                <w:rFonts w:ascii="仿宋_GB2312" w:hAnsi="仿宋_GB2312" w:cs="仿宋_GB2312" w:eastAsia="仿宋_GB2312"/>
                <w:sz w:val="24"/>
              </w:rPr>
              <w:t>空气过滤器</w:t>
            </w:r>
            <w:r>
              <w:rPr>
                <w:rFonts w:ascii="仿宋_GB2312" w:hAnsi="仿宋_GB2312" w:cs="仿宋_GB2312" w:eastAsia="仿宋_GB2312"/>
                <w:sz w:val="24"/>
              </w:rPr>
              <w:t>5个</w:t>
            </w:r>
          </w:p>
          <w:p>
            <w:pPr>
              <w:pStyle w:val="null3"/>
              <w:numPr>
                <w:ilvl w:val="0"/>
                <w:numId w:val="1"/>
              </w:numPr>
              <w:jc w:val="both"/>
            </w:pPr>
            <w:r>
              <w:rPr>
                <w:rFonts w:ascii="仿宋_GB2312" w:hAnsi="仿宋_GB2312" w:cs="仿宋_GB2312" w:eastAsia="仿宋_GB2312"/>
                <w:sz w:val="24"/>
              </w:rPr>
              <w:t>过滤器</w:t>
            </w:r>
            <w:r>
              <w:rPr>
                <w:rFonts w:ascii="仿宋_GB2312" w:hAnsi="仿宋_GB2312" w:cs="仿宋_GB2312" w:eastAsia="仿宋_GB2312"/>
                <w:sz w:val="24"/>
              </w:rPr>
              <w:t>5个</w:t>
            </w:r>
          </w:p>
          <w:p>
            <w:pPr>
              <w:pStyle w:val="null3"/>
              <w:numPr>
                <w:ilvl w:val="0"/>
                <w:numId w:val="1"/>
              </w:numPr>
              <w:jc w:val="both"/>
            </w:pPr>
            <w:r>
              <w:rPr>
                <w:rFonts w:ascii="仿宋_GB2312" w:hAnsi="仿宋_GB2312" w:cs="仿宋_GB2312" w:eastAsia="仿宋_GB2312"/>
                <w:sz w:val="24"/>
              </w:rPr>
              <w:t>调节阀</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numPr>
                <w:ilvl w:val="0"/>
                <w:numId w:val="1"/>
              </w:numPr>
              <w:jc w:val="both"/>
            </w:pPr>
            <w:r>
              <w:rPr>
                <w:rFonts w:ascii="仿宋_GB2312" w:hAnsi="仿宋_GB2312" w:cs="仿宋_GB2312" w:eastAsia="仿宋_GB2312"/>
                <w:sz w:val="24"/>
              </w:rPr>
              <w:t>三通</w:t>
            </w:r>
            <w:r>
              <w:rPr>
                <w:rFonts w:ascii="仿宋_GB2312" w:hAnsi="仿宋_GB2312" w:cs="仿宋_GB2312" w:eastAsia="仿宋_GB2312"/>
                <w:sz w:val="24"/>
              </w:rPr>
              <w:t>1个</w:t>
            </w:r>
          </w:p>
          <w:p>
            <w:pPr>
              <w:pStyle w:val="null3"/>
              <w:numPr>
                <w:ilvl w:val="0"/>
                <w:numId w:val="1"/>
              </w:numPr>
              <w:jc w:val="both"/>
            </w:pPr>
            <w:r>
              <w:rPr>
                <w:rFonts w:ascii="仿宋_GB2312" w:hAnsi="仿宋_GB2312" w:cs="仿宋_GB2312" w:eastAsia="仿宋_GB2312"/>
                <w:sz w:val="24"/>
              </w:rPr>
              <w:t>PG8-6 快插变径直通</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numPr>
                <w:ilvl w:val="0"/>
                <w:numId w:val="1"/>
              </w:numPr>
              <w:jc w:val="both"/>
            </w:pPr>
            <w:r>
              <w:rPr>
                <w:rFonts w:ascii="仿宋_GB2312" w:hAnsi="仿宋_GB2312" w:cs="仿宋_GB2312" w:eastAsia="仿宋_GB2312"/>
                <w:sz w:val="24"/>
              </w:rPr>
              <w:t>PG10-8快插变径直通</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numPr>
                <w:ilvl w:val="0"/>
                <w:numId w:val="1"/>
              </w:numPr>
              <w:jc w:val="both"/>
            </w:pPr>
            <w:r>
              <w:rPr>
                <w:rFonts w:ascii="仿宋_GB2312" w:hAnsi="仿宋_GB2312" w:cs="仿宋_GB2312" w:eastAsia="仿宋_GB2312"/>
                <w:sz w:val="24"/>
              </w:rPr>
              <w:t>Φ4管子1米</w:t>
            </w:r>
          </w:p>
          <w:p>
            <w:pPr>
              <w:pStyle w:val="null3"/>
              <w:numPr>
                <w:ilvl w:val="0"/>
                <w:numId w:val="1"/>
              </w:numPr>
              <w:jc w:val="both"/>
            </w:pPr>
            <w:r>
              <w:rPr>
                <w:rFonts w:ascii="仿宋_GB2312" w:hAnsi="仿宋_GB2312" w:cs="仿宋_GB2312" w:eastAsia="仿宋_GB2312"/>
                <w:sz w:val="24"/>
              </w:rPr>
              <w:t>Φ6管子1米</w:t>
            </w:r>
          </w:p>
          <w:p>
            <w:pPr>
              <w:pStyle w:val="null3"/>
              <w:numPr>
                <w:ilvl w:val="0"/>
                <w:numId w:val="1"/>
              </w:numPr>
              <w:jc w:val="both"/>
            </w:pPr>
            <w:r>
              <w:rPr>
                <w:rFonts w:ascii="仿宋_GB2312" w:hAnsi="仿宋_GB2312" w:cs="仿宋_GB2312" w:eastAsia="仿宋_GB2312"/>
                <w:sz w:val="24"/>
              </w:rPr>
              <w:t>专用测量瓶</w:t>
            </w:r>
            <w:r>
              <w:rPr>
                <w:rFonts w:ascii="仿宋_GB2312" w:hAnsi="仿宋_GB2312" w:cs="仿宋_GB2312" w:eastAsia="仿宋_GB2312"/>
                <w:sz w:val="24"/>
              </w:rPr>
              <w:t>1个</w:t>
            </w:r>
          </w:p>
          <w:p>
            <w:pPr>
              <w:pStyle w:val="null3"/>
              <w:numPr>
                <w:ilvl w:val="0"/>
                <w:numId w:val="1"/>
              </w:numPr>
              <w:jc w:val="both"/>
            </w:pPr>
            <w:r>
              <w:rPr>
                <w:rFonts w:ascii="仿宋_GB2312" w:hAnsi="仿宋_GB2312" w:cs="仿宋_GB2312" w:eastAsia="仿宋_GB2312"/>
                <w:sz w:val="24"/>
              </w:rPr>
              <w:t>备件箱</w:t>
            </w:r>
            <w:r>
              <w:rPr>
                <w:rFonts w:ascii="仿宋_GB2312" w:hAnsi="仿宋_GB2312" w:cs="仿宋_GB2312" w:eastAsia="仿宋_GB2312"/>
                <w:sz w:val="24"/>
              </w:rPr>
              <w:t>1个</w:t>
            </w:r>
          </w:p>
          <w:p>
            <w:pPr>
              <w:pStyle w:val="null3"/>
              <w:numPr>
                <w:ilvl w:val="0"/>
                <w:numId w:val="1"/>
              </w:numPr>
              <w:jc w:val="both"/>
            </w:pPr>
            <w:r>
              <w:rPr>
                <w:rFonts w:ascii="仿宋_GB2312" w:hAnsi="仿宋_GB2312" w:cs="仿宋_GB2312" w:eastAsia="仿宋_GB2312"/>
                <w:sz w:val="24"/>
              </w:rPr>
              <w:t>随机资料（</w:t>
            </w:r>
            <w:r>
              <w:rPr>
                <w:rFonts w:ascii="仿宋_GB2312" w:hAnsi="仿宋_GB2312" w:cs="仿宋_GB2312" w:eastAsia="仿宋_GB2312"/>
                <w:sz w:val="24"/>
              </w:rPr>
              <w:t>使用说明和维护手册</w:t>
            </w:r>
            <w:r>
              <w:rPr>
                <w:rFonts w:ascii="仿宋_GB2312" w:hAnsi="仿宋_GB2312" w:cs="仿宋_GB2312" w:eastAsia="仿宋_GB2312"/>
                <w:sz w:val="24"/>
              </w:rPr>
              <w:t>）</w:t>
            </w:r>
            <w:r>
              <w:rPr>
                <w:rFonts w:ascii="仿宋_GB2312" w:hAnsi="仿宋_GB2312" w:cs="仿宋_GB2312" w:eastAsia="仿宋_GB2312"/>
                <w:sz w:val="24"/>
              </w:rPr>
              <w:t>1套</w:t>
            </w:r>
          </w:p>
          <w:p>
            <w:pPr>
              <w:pStyle w:val="null3"/>
              <w:numPr>
                <w:ilvl w:val="0"/>
                <w:numId w:val="1"/>
              </w:numPr>
              <w:jc w:val="both"/>
            </w:pPr>
            <w:r>
              <w:rPr>
                <w:rFonts w:ascii="仿宋_GB2312" w:hAnsi="仿宋_GB2312" w:cs="仿宋_GB2312" w:eastAsia="仿宋_GB2312"/>
                <w:sz w:val="24"/>
              </w:rPr>
              <w:t>省级及以上机构出具的检定或校准证书</w:t>
            </w:r>
            <w:r>
              <w:rPr>
                <w:rFonts w:ascii="仿宋_GB2312" w:hAnsi="仿宋_GB2312" w:cs="仿宋_GB2312" w:eastAsia="仿宋_GB2312"/>
                <w:sz w:val="24"/>
              </w:rPr>
              <w:t>1份</w:t>
            </w:r>
          </w:p>
          <w:p>
            <w:pPr>
              <w:pStyle w:val="null3"/>
              <w:jc w:val="both"/>
            </w:pPr>
            <w:r>
              <w:rPr>
                <w:rFonts w:ascii="仿宋_GB2312" w:hAnsi="仿宋_GB2312" w:cs="仿宋_GB2312" w:eastAsia="仿宋_GB2312"/>
                <w:sz w:val="24"/>
              </w:rPr>
              <w:t>商务要求</w:t>
            </w:r>
          </w:p>
          <w:p>
            <w:pPr>
              <w:pStyle w:val="null3"/>
              <w:jc w:val="both"/>
            </w:pPr>
            <w:r>
              <w:rPr>
                <w:rFonts w:ascii="仿宋_GB2312" w:hAnsi="仿宋_GB2312" w:cs="仿宋_GB2312" w:eastAsia="仿宋_GB2312"/>
                <w:sz w:val="24"/>
              </w:rPr>
              <w:t>交货期：</w:t>
            </w:r>
            <w:r>
              <w:rPr>
                <w:rFonts w:ascii="仿宋_GB2312" w:hAnsi="仿宋_GB2312" w:cs="仿宋_GB2312" w:eastAsia="仿宋_GB2312"/>
                <w:sz w:val="24"/>
              </w:rPr>
              <w:t>自合同签订之日起</w:t>
            </w:r>
            <w:r>
              <w:rPr>
                <w:rFonts w:ascii="仿宋_GB2312" w:hAnsi="仿宋_GB2312" w:cs="仿宋_GB2312" w:eastAsia="仿宋_GB2312"/>
                <w:sz w:val="24"/>
              </w:rPr>
              <w:t>45个日历日内</w:t>
            </w:r>
            <w:r>
              <w:rPr>
                <w:rFonts w:ascii="仿宋_GB2312" w:hAnsi="仿宋_GB2312" w:cs="仿宋_GB2312" w:eastAsia="仿宋_GB2312"/>
                <w:sz w:val="24"/>
              </w:rPr>
              <w:t>完成设备的运输、安装和调试</w:t>
            </w:r>
          </w:p>
          <w:p>
            <w:pPr>
              <w:pStyle w:val="null3"/>
              <w:jc w:val="both"/>
            </w:pPr>
            <w:r>
              <w:rPr>
                <w:rFonts w:ascii="仿宋_GB2312" w:hAnsi="仿宋_GB2312" w:cs="仿宋_GB2312" w:eastAsia="仿宋_GB2312"/>
                <w:sz w:val="24"/>
              </w:rPr>
              <w:t>质保期：自供应商交货验收合格之日起质保</w:t>
            </w:r>
            <w:r>
              <w:rPr>
                <w:rFonts w:ascii="仿宋_GB2312" w:hAnsi="仿宋_GB2312" w:cs="仿宋_GB2312" w:eastAsia="仿宋_GB2312"/>
                <w:sz w:val="24"/>
              </w:rPr>
              <w:t>2 年</w:t>
            </w:r>
          </w:p>
          <w:p>
            <w:pPr>
              <w:pStyle w:val="null3"/>
              <w:jc w:val="both"/>
            </w:pPr>
            <w:r>
              <w:rPr>
                <w:rFonts w:ascii="仿宋_GB2312" w:hAnsi="仿宋_GB2312" w:cs="仿宋_GB2312" w:eastAsia="仿宋_GB2312"/>
                <w:sz w:val="24"/>
              </w:rPr>
              <w:t>付款方式：银行转账：</w:t>
            </w:r>
          </w:p>
          <w:p>
            <w:pPr>
              <w:pStyle w:val="null3"/>
              <w:ind w:firstLine="480"/>
              <w:jc w:val="both"/>
            </w:pPr>
            <w:r>
              <w:rPr>
                <w:rFonts w:ascii="仿宋_GB2312" w:hAnsi="仿宋_GB2312" w:cs="仿宋_GB2312" w:eastAsia="仿宋_GB2312"/>
                <w:sz w:val="24"/>
              </w:rPr>
              <w:t>全部设备安装、调试及人员培训完成并验收合格交付使用后支付到合同总金额的</w:t>
            </w:r>
            <w:r>
              <w:rPr>
                <w:rFonts w:ascii="仿宋_GB2312" w:hAnsi="仿宋_GB2312" w:cs="仿宋_GB2312" w:eastAsia="仿宋_GB2312"/>
                <w:sz w:val="24"/>
                <w:u w:val="single"/>
              </w:rPr>
              <w:t>100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采购人付款前供应商开具相应金额的增值税发票。</w:t>
            </w:r>
          </w:p>
          <w:p>
            <w:pPr>
              <w:pStyle w:val="null3"/>
              <w:jc w:val="left"/>
            </w:pPr>
            <w:r>
              <w:rPr>
                <w:rFonts w:ascii="仿宋_GB2312" w:hAnsi="仿宋_GB2312" w:cs="仿宋_GB2312" w:eastAsia="仿宋_GB2312"/>
                <w:sz w:val="24"/>
              </w:rPr>
              <w:t>供货验收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所有系统设备到达施工现场</w:t>
            </w:r>
            <w:r>
              <w:rPr>
                <w:rFonts w:ascii="仿宋_GB2312" w:hAnsi="仿宋_GB2312" w:cs="仿宋_GB2312" w:eastAsia="仿宋_GB2312"/>
                <w:sz w:val="24"/>
              </w:rPr>
              <w:t>2日内，甲方组织专业人员或部门对乙方交付的设备进行初步验收。设备不符合相关国家</w:t>
            </w:r>
            <w:r>
              <w:rPr>
                <w:rFonts w:ascii="仿宋_GB2312" w:hAnsi="仿宋_GB2312" w:cs="仿宋_GB2312" w:eastAsia="仿宋_GB2312"/>
                <w:sz w:val="24"/>
              </w:rPr>
              <w:t>或</w:t>
            </w:r>
            <w:r>
              <w:rPr>
                <w:rFonts w:ascii="仿宋_GB2312" w:hAnsi="仿宋_GB2312" w:cs="仿宋_GB2312" w:eastAsia="仿宋_GB2312"/>
                <w:sz w:val="24"/>
              </w:rPr>
              <w:t>行业及约定标准或没有按规定提供约定的证明文件的，甲方拒绝接受。此项验收仅为货物初步验收，并不免除乙方承担的质量责任。未经甲方验收合格乙方擅自安装的设备，一切责任由乙方自行承担。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乙方交付时应向甲方提交以下证明材料和文件：产品合格证、原厂证明、</w:t>
            </w:r>
            <w:r>
              <w:rPr>
                <w:rFonts w:ascii="仿宋_GB2312" w:hAnsi="仿宋_GB2312" w:cs="仿宋_GB2312" w:eastAsia="仿宋_GB2312"/>
                <w:sz w:val="24"/>
              </w:rPr>
              <w:t>省级及以上机构出具的检定或校准证书</w:t>
            </w:r>
            <w:r>
              <w:rPr>
                <w:rFonts w:ascii="仿宋_GB2312" w:hAnsi="仿宋_GB2312" w:cs="仿宋_GB2312" w:eastAsia="仿宋_GB2312"/>
                <w:sz w:val="24"/>
              </w:rPr>
              <w:t>等质量证明文件。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争议解决：双方对设备是否符合约定标准产生争议时，送相关质检部门检测，检测结果将作为裁决依据送仲裁部门进行仲裁。检测费、裁决费用由乙方预付，裁决符合约定标准的，由甲方承担；不符合标准的，由乙方承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设备的调试、验收：全部系统安装完毕后，乙方进行各项调试。调试符合要求的，通知甲方组织验收。因设备质量导致调试不符合要求的，乙方应免费更换，使之达到技术规范要求，同时承担</w:t>
            </w:r>
            <w:r>
              <w:rPr>
                <w:rFonts w:ascii="仿宋_GB2312" w:hAnsi="仿宋_GB2312" w:cs="仿宋_GB2312" w:eastAsia="仿宋_GB2312"/>
                <w:sz w:val="24"/>
              </w:rPr>
              <w:t>运输</w:t>
            </w:r>
            <w:r>
              <w:rPr>
                <w:rFonts w:ascii="仿宋_GB2312" w:hAnsi="仿宋_GB2312" w:cs="仿宋_GB2312" w:eastAsia="仿宋_GB2312"/>
                <w:sz w:val="24"/>
              </w:rPr>
              <w:t>、重新安装的费用和本合同约定的违约责任。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如因设备质量或原始标（警）示不清等原因，导致甲方损失，或造成甲方操作人员、第三方人员人身伤害，乙方应依法予以赔偿。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自合同签订之日起45个日历日内完成设备的运输、安装和调试。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陕西省特种设备检验检测研究院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全部设备安装、调试及人员培训完成并验收合格交付使用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（1）所有系统设备到达施工现场 2日内，甲方组织专业人员或部门对乙方交付的设备进行初步验收。设备不符合相关国家或行业及约定标准或没有按规定提供约定的证明文件的，甲方拒绝接受。此项验收仅为货物初步验收，并不免除乙方承担的质量责任。未经甲方验收合格乙方擅自安装的设备，一切责任由乙方自行承担。 （2）乙方交付时应向甲方提交以下证明材料和文件：产品合格证、原厂证明、省级及以上机构出具的检定或校准证书等质量证明文件。 （3）争议解决：双方对设备是否符合约定标准产生争议时，送相关质检部门检测，检测结果将作为裁决依据送仲裁部门进行仲裁。检测费、裁决费用由乙方预付，裁决符合约定标准的，由甲方承担；不符合标准的，由乙方承担。 （4）设备的调试、验收：全部系统安装完毕后，乙方进行各项调试。调试符合要求的，通知甲方组织验收。因设备质量导致调试不符合要求的，乙方应免费更换，使之达到技术规范要求，同时承担运输、重新安装的费用和本合同约定的违约责任。 （5）如因设备质量或原始标（警）示不清等原因，导致甲方损失，或造成甲方操作人员、第三方人员人身伤害，乙方应依法予以赔偿。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自供应商交货验收合格之日起质保 2 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双方本着友好合作的态度,对合同履行过程中发生的纠纷应及时协商解决,协商不成，向甲方所在地人民法院诉讼解决。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1.服务响应时限：7*24小时服务，提供售后服务电话（应具有：固定电话、移动电话、传真）； 2.乙方在接到甲方通知后维修工作时间不大于24小时，更换工作时间不大于72小时； 3.在质保期内更换系统中部件，其保修期应相应延长。 4.所有维修均应上门服务，即由乙方派人员到货物使用现场维修，由此产生的一切费用均由乙方承担； 5.若乙方未按照合同规定的售后服务要求执行，甲方有权自行选择第三方进行维护和修理，所产生的全部费用由乙方承担； 6.技术保障：乙方在项目实施过程中提供相应的设备、技术服务,进行现场调试技术保障，保证每一次活动顺利进行，并解决项目实施过程出现的突发事件；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的经审计的财务会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提供2025年06月01日至今任意一月的纳税凭据或完税证明，依法免税的应提供相关证明材料；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社会保障资金缴纳证明：提供2025年06月01日至今任意一月的社会保障资金缴存单据或社保机构开具的社会保险参保缴费情况证明，依法不需要缴纳社会保障资金的应提供相关证明材料；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法定代表人授权书（附法定代表人、被授权人身份证复印件及被授权人在本单位缴纳社保证明），法定代表人直接参加投标，须提供法定代表人身份证明；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符合商务、技术要求，标记“★”参数为实质性参数，供应商必须响应并满足，不得存在负偏离;</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按要求填写技术规格偏离表，产品技术参数明确。投标人所投产品完全响应招标文件要求，满足采购需求、技术参数没有负偏离得22分；带“★”的参数需求为实质性要求，供应商必须响应并满足的参数需求，不满足按无效投标处理。其余参数负偏离一项扣2分，扣完为止； 注：带“★”项的技术参数投标人除填写技术规格偏离表外还应按要求提供证明材料（例如：检测报告或产品说明书或官网介绍截图或厂家加盖公章的参数说明等证明材料），未提供相关证明材料或提供的证明材料不能证明其满足招标文件要求视为负偏离。</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评审内容：①项目整体目标；②供货进度计划；③安装运输调试方案；④人员配备；⑤物流保障措施。 评审标准：以上内容各部分内容全面详细、阐述条理清晰详尽、符合本项目采购需求得20分；评审内容每有一项缺项、与本项目内容无关或只有标题没有实质性内容扣4分；评审内容有缺陷或未完全响应评审标准的（缺陷是指：内容粗略、描述过于简单、条理不清晰、出现常识性错误、存在不完全适用项目实际情况的情形等），每项扣2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评审内容：①培训时间、培训人数、培训人员、培训方式； ②产品的操作原理和技术性能；③维护方法和故障排除。 评审标准：以上内容各部分内容全面详细、阐述条理清晰详尽、符合本项目采购需求得6分；评审内容每有一项缺项、与本项目内容无关或只有标题没有实质性内容扣2分，评审内容有缺陷或未完全响应评审标准的（缺陷是指：内容粗略、描述过于简单、条理不清晰、出现常识性错误、存在不完全适用项目实际情况的情形等），每项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评审内容：①产品性能、使用寿命及效果；②产品供应渠道；③产品出厂检验技术资料齐全；④质量保证措施。 评审标准：以上内容各部分内容全面详细、阐述条理清晰详尽、符合本项目采购需求得8分；评审内容每有一项缺项、与本项目内容无关或只有标题没有实质性内容扣2分，评审内容有缺陷或未完全响应评审标准的（缺陷是指：内容粗略、描述过于简单、条理不清晰、出现常识性错误、存在不完全适用项目实际情况的情形等），每项扣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评审内容：①售后服务方式及售后人员配置；②售后服务承诺及保障措施；③产品交付采购方后出现质量问题的响应时间；④供货不及时、出现残次品等补货换货解决方案。 评审标准：以上内容各部分内容全面详细、阐述条理清晰详尽、符合本项目采购需求得8分；评审内容每有一项缺项、与本项目内容无关或只有标题没有实质性内容扣2分，评审内容有缺陷或未完全响应评审标准的（缺陷是指：内容粗略、描述过于简单、条理不清晰、出现常识性错误、存在不完全适用项目实际情况的情形等），每项扣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政府采购清单中的产品的得0.5分，每有一项为环境标志产品政府采购清单中的产品的得0.5分，供应商所投产品中每有一项产品同时为节能产品政府采购清单和环境标志产品政府采购清单中的产品的得1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供应商2022年01月01日至今类似项目业绩，每提供1份得2.5分，最高得5分。 业绩证明（以合同签订时间为准，须在投标文件中附合同扫描件或复印件加盖单位公章）弄虚作假者，取消其中标资格。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总报价最低的供应商的价格为投标基准价，其价格分为满分。其他供应商的价格分统一按照下列公式计算：投标报价得分=（投标基准价/投标总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