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版本号：KY2026-3-04820260323001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飞机焰条采购项目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KY2026-3-048</w:t>
      </w:r>
      <w:r>
        <w:br/>
      </w:r>
      <w:r>
        <w:br/>
      </w:r>
      <w:r>
        <w:br/>
      </w:r>
      <w:r>
        <w:br/>
      </w:r>
      <w:r>
        <w:br/>
      </w:r>
    </w:p>
    <w:p>
      <w:pPr>
        <w:pStyle w:val="null3"/>
        <w:jc w:val="center"/>
        <w:outlineLvl w:val="5"/>
      </w:pPr>
      <w:r>
        <w:rPr>
          <w:rFonts w:ascii="仿宋_GB2312" w:hAnsi="仿宋_GB2312" w:cs="仿宋_GB2312" w:eastAsia="仿宋_GB2312"/>
          <w:sz w:val="15"/>
          <w:b/>
        </w:rPr>
        <w:t>陕西省人工影响天气中心</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陕西省人工影响天气中心</w:t>
      </w:r>
      <w:r>
        <w:rPr>
          <w:rFonts w:ascii="仿宋_GB2312" w:hAnsi="仿宋_GB2312" w:cs="仿宋_GB2312" w:eastAsia="仿宋_GB2312"/>
        </w:rPr>
        <w:t>委托，拟对</w:t>
      </w:r>
      <w:r>
        <w:rPr>
          <w:rFonts w:ascii="仿宋_GB2312" w:hAnsi="仿宋_GB2312" w:cs="仿宋_GB2312" w:eastAsia="仿宋_GB2312"/>
        </w:rPr>
        <w:t>飞机焰条采购项目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飞机焰条采购项目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陕西省人工影响天气中心飞机焰条采购项目，具体内容详见采购文件第三章。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陕西省人工影响天气中心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029-81619398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银行账号：86113010750181502001013</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2、本项目代理服务费按货物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陕西省人工影响天气中心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陕西省人工影响天气中心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陕西省人工影响天气中心飞机焰条采购项目，具体内容详见采购文件第三章。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飞机焰条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标的名称：飞机焰条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41"/>
              <w:jc w:val="both"/>
            </w:pPr>
            <w:r>
              <w:rPr>
                <w:rFonts w:ascii="仿宋_GB2312" w:hAnsi="仿宋_GB2312" w:cs="仿宋_GB2312" w:eastAsia="仿宋_GB2312"/>
                <w:sz w:val="24"/>
                <w:color w:val="000000"/>
              </w:rPr>
              <w:t>YF-1飞机冷云焰条技术参数：</w:t>
            </w:r>
          </w:p>
          <w:p>
            <w:pPr>
              <w:pStyle w:val="null3"/>
            </w:pPr>
            <w:r>
              <w:rPr>
                <w:rFonts w:ascii="仿宋_GB2312" w:hAnsi="仿宋_GB2312" w:cs="仿宋_GB2312" w:eastAsia="仿宋_GB2312"/>
                <w:sz w:val="24"/>
                <w:color w:val="000000"/>
              </w:rPr>
              <w:t>采购数量：约1000根</w:t>
            </w:r>
          </w:p>
          <w:p>
            <w:pPr>
              <w:pStyle w:val="null3"/>
            </w:pPr>
            <w:r>
              <w:rPr>
                <w:rFonts w:ascii="仿宋_GB2312" w:hAnsi="仿宋_GB2312" w:cs="仿宋_GB2312" w:eastAsia="仿宋_GB2312"/>
                <w:sz w:val="24"/>
                <w:color w:val="000000"/>
              </w:rPr>
              <w:t>焰条直径：Φ60 mm</w:t>
            </w:r>
          </w:p>
          <w:p>
            <w:pPr>
              <w:pStyle w:val="null3"/>
            </w:pPr>
            <w:r>
              <w:rPr>
                <w:rFonts w:ascii="仿宋_GB2312" w:hAnsi="仿宋_GB2312" w:cs="仿宋_GB2312" w:eastAsia="仿宋_GB2312"/>
                <w:sz w:val="24"/>
                <w:color w:val="000000"/>
              </w:rPr>
              <w:t>焰条长度：964 mm±1 mm</w:t>
            </w:r>
          </w:p>
          <w:p>
            <w:pPr>
              <w:pStyle w:val="null3"/>
            </w:pPr>
            <w:r>
              <w:rPr>
                <w:rFonts w:ascii="仿宋_GB2312" w:hAnsi="仿宋_GB2312" w:cs="仿宋_GB2312" w:eastAsia="仿宋_GB2312"/>
                <w:sz w:val="24"/>
                <w:color w:val="000000"/>
              </w:rPr>
              <w:t>焰条质量：3.5 kg±0.5 kg</w:t>
            </w:r>
          </w:p>
          <w:p>
            <w:pPr>
              <w:pStyle w:val="null3"/>
            </w:pPr>
            <w:r>
              <w:rPr>
                <w:rFonts w:ascii="仿宋_GB2312" w:hAnsi="仿宋_GB2312" w:cs="仿宋_GB2312" w:eastAsia="仿宋_GB2312"/>
                <w:sz w:val="24"/>
                <w:color w:val="000000"/>
              </w:rPr>
              <w:t>地面焰条燃烧时间：18min±2min（0℃～+30℃）</w:t>
            </w:r>
          </w:p>
          <w:p>
            <w:pPr>
              <w:pStyle w:val="null3"/>
            </w:pPr>
            <w:r>
              <w:rPr>
                <w:rFonts w:ascii="仿宋_GB2312" w:hAnsi="仿宋_GB2312" w:cs="仿宋_GB2312" w:eastAsia="仿宋_GB2312"/>
                <w:sz w:val="24"/>
                <w:color w:val="000000"/>
              </w:rPr>
              <w:t>焰条焰剂携带量：2.3 kg±0.3kg</w:t>
            </w:r>
          </w:p>
          <w:p>
            <w:pPr>
              <w:pStyle w:val="null3"/>
            </w:pPr>
            <w:r>
              <w:rPr>
                <w:rFonts w:ascii="仿宋_GB2312" w:hAnsi="仿宋_GB2312" w:cs="仿宋_GB2312" w:eastAsia="仿宋_GB2312"/>
                <w:sz w:val="24"/>
                <w:color w:val="000000"/>
              </w:rPr>
              <w:t xml:space="preserve"> 成核率（-10℃）：＞10</w:t>
            </w:r>
            <w:r>
              <w:rPr>
                <w:rFonts w:ascii="仿宋_GB2312" w:hAnsi="仿宋_GB2312" w:cs="仿宋_GB2312" w:eastAsia="仿宋_GB2312"/>
                <w:sz w:val="24"/>
                <w:color w:val="000000"/>
                <w:vertAlign w:val="superscript"/>
              </w:rPr>
              <w:t>13</w:t>
            </w:r>
            <w:r>
              <w:rPr>
                <w:rFonts w:ascii="仿宋_GB2312" w:hAnsi="仿宋_GB2312" w:cs="仿宋_GB2312" w:eastAsia="仿宋_GB2312"/>
                <w:sz w:val="24"/>
                <w:color w:val="000000"/>
              </w:rPr>
              <w:t>个/克AgI</w:t>
            </w:r>
          </w:p>
          <w:p>
            <w:pPr>
              <w:pStyle w:val="null3"/>
            </w:pPr>
            <w:r>
              <w:rPr>
                <w:rFonts w:ascii="仿宋_GB2312" w:hAnsi="仿宋_GB2312" w:cs="仿宋_GB2312" w:eastAsia="仿宋_GB2312"/>
                <w:sz w:val="24"/>
                <w:color w:val="000000"/>
              </w:rPr>
              <w:t>电阻值：2.2Ω±0.5Ω</w:t>
            </w:r>
          </w:p>
          <w:p>
            <w:pPr>
              <w:pStyle w:val="null3"/>
            </w:pPr>
            <w:r>
              <w:rPr>
                <w:rFonts w:ascii="仿宋_GB2312" w:hAnsi="仿宋_GB2312" w:cs="仿宋_GB2312" w:eastAsia="仿宋_GB2312"/>
                <w:sz w:val="24"/>
                <w:color w:val="000000"/>
              </w:rPr>
              <w:t>点火电压：DC 28V</w:t>
            </w:r>
          </w:p>
          <w:p>
            <w:pPr>
              <w:pStyle w:val="null3"/>
            </w:pPr>
            <w:r>
              <w:rPr>
                <w:rFonts w:ascii="仿宋_GB2312" w:hAnsi="仿宋_GB2312" w:cs="仿宋_GB2312" w:eastAsia="仿宋_GB2312"/>
                <w:sz w:val="24"/>
                <w:color w:val="000000"/>
              </w:rPr>
              <w:t>点火电流：≥1A</w:t>
            </w:r>
          </w:p>
          <w:p>
            <w:pPr>
              <w:pStyle w:val="null3"/>
            </w:pPr>
            <w:r>
              <w:rPr>
                <w:rFonts w:ascii="仿宋_GB2312" w:hAnsi="仿宋_GB2312" w:cs="仿宋_GB2312" w:eastAsia="仿宋_GB2312"/>
                <w:sz w:val="24"/>
                <w:color w:val="000000"/>
              </w:rPr>
              <w:t>检测电流：≤20mA</w:t>
            </w:r>
          </w:p>
          <w:p>
            <w:pPr>
              <w:pStyle w:val="null3"/>
            </w:pPr>
            <w:r>
              <w:rPr>
                <w:rFonts w:ascii="仿宋_GB2312" w:hAnsi="仿宋_GB2312" w:cs="仿宋_GB2312" w:eastAsia="仿宋_GB2312"/>
                <w:sz w:val="24"/>
                <w:color w:val="000000"/>
              </w:rPr>
              <w:t>备注：本项目单价成交，最终据实结算。单价包含运杂费、保险、税款等相关费用，并且价格不收市场价格变化影响。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陕西省人工影响天气中心指定地点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⑪《国务院办公厅关于在政府采购中实施本国产品标准及相关政策的通知》国办发〔2025〕34号；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2896452103@qq.com，并以邮件接收时间为退付的基准时间。 3、为顺利推进政府采购电子化交易平台应用工作，供应商需要在线提交所有通过电子化交易平台实施的政府采购项目的响应文件，同时，线下提交纸质响应文件正本壹份、副本壹份。4、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任萍萍，联系电话：029-81206622/81206633-842）。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商务应答表 标的清单 报价表 项目实施方案 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产品技术参数表 中小企业声明函 残疾人福利性单位声明函 商务应答表 标的清单 报价表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供应商认为有必要说明的问题.docx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标的清单 报价表 响应函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