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版本号：RH采字【20260110】号20260415002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子弟学校智慧黑板</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RH采字【20260110】号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子弟学校智慧黑板</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RH采字【20260110】号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子弟学校智慧黑板</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西安理工大学子弟学校智慧黑板</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采购包1：1,825,200.00元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400万项目招标代理服务费调整比例按照报价依据的60%计费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踏勘时间：2026-04-01 09:00:00</w:t>
            </w:r>
          </w:p>
          <w:p>
            <w:pPr>
              <w:pStyle w:val="null3"/>
              <w:ind w:firstLine="975"/>
            </w:pPr>
            <w:r>
              <w:rPr>
                <w:rFonts w:ascii="仿宋_GB2312" w:hAnsi="仿宋_GB2312" w:cs="仿宋_GB2312" w:eastAsia="仿宋_GB2312"/>
              </w:rPr>
              <w:t>踏勘地点：西安理工大学附属小学门口集合</w:t>
            </w:r>
          </w:p>
          <w:p>
            <w:pPr>
              <w:pStyle w:val="null3"/>
              <w:ind w:firstLine="975"/>
            </w:pPr>
            <w:r>
              <w:rPr>
                <w:rFonts w:ascii="仿宋_GB2312" w:hAnsi="仿宋_GB2312" w:cs="仿宋_GB2312" w:eastAsia="仿宋_GB2312"/>
              </w:rPr>
              <w:t>联系人：王工</w:t>
            </w:r>
          </w:p>
          <w:p>
            <w:pPr>
              <w:pStyle w:val="null3"/>
              <w:ind w:firstLine="975"/>
            </w:pPr>
            <w:r>
              <w:rPr>
                <w:rFonts w:ascii="仿宋_GB2312" w:hAnsi="仿宋_GB2312" w:cs="仿宋_GB2312" w:eastAsia="仿宋_GB2312"/>
              </w:rPr>
              <w:t>联系电话号码：15091632950</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西安理工大学子弟学校智慧黑板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1,825,200.00</w:t>
      </w:r>
    </w:p>
    <w:p>
      <w:pPr>
        <w:pStyle w:val="null3"/>
      </w:pPr>
      <w:r>
        <w:rPr>
          <w:rFonts w:ascii="仿宋_GB2312" w:hAnsi="仿宋_GB2312" w:cs="仿宋_GB2312" w:eastAsia="仿宋_GB2312"/>
        </w:rPr>
        <w:t>采购包最高限价（元）: 1,350,000.00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智慧黑板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1,825,200.00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智慧黑板</w:t>
            </w:r>
            <w:r>
              <w:rPr>
                <w:rFonts w:ascii="仿宋_GB2312" w:hAnsi="仿宋_GB2312" w:cs="仿宋_GB2312" w:eastAsia="仿宋_GB2312"/>
                <w:sz w:val="24"/>
                <w:b/>
              </w:rPr>
              <w:t>（</w:t>
            </w:r>
            <w:r>
              <w:rPr>
                <w:rFonts w:ascii="仿宋_GB2312" w:hAnsi="仿宋_GB2312" w:cs="仿宋_GB2312" w:eastAsia="仿宋_GB2312"/>
                <w:sz w:val="24"/>
                <w:b/>
              </w:rPr>
              <w:t>54</w:t>
            </w:r>
            <w:r>
              <w:rPr>
                <w:rFonts w:ascii="仿宋_GB2312" w:hAnsi="仿宋_GB2312" w:cs="仿宋_GB2312" w:eastAsia="仿宋_GB2312"/>
                <w:sz w:val="24"/>
                <w:b/>
              </w:rPr>
              <w:t>块）【核心产品】</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、整机屏幕≥ </w:t>
            </w:r>
            <w:r>
              <w:rPr>
                <w:rFonts w:ascii="仿宋_GB2312" w:hAnsi="仿宋_GB2312" w:cs="仿宋_GB2312" w:eastAsia="仿宋_GB2312"/>
                <w:sz w:val="21"/>
              </w:rPr>
              <w:t xml:space="preserve">86 </w:t>
            </w:r>
            <w:r>
              <w:rPr>
                <w:rFonts w:ascii="仿宋_GB2312" w:hAnsi="仿宋_GB2312" w:cs="仿宋_GB2312" w:eastAsia="仿宋_GB2312"/>
                <w:sz w:val="21"/>
              </w:rPr>
              <w:t xml:space="preserve">英 寸 </w:t>
            </w:r>
            <w:r>
              <w:rPr>
                <w:rFonts w:ascii="仿宋_GB2312" w:hAnsi="仿宋_GB2312" w:cs="仿宋_GB2312" w:eastAsia="仿宋_GB2312"/>
                <w:sz w:val="21"/>
              </w:rPr>
              <w:t xml:space="preserve">UHD </w:t>
            </w:r>
            <w:r>
              <w:rPr>
                <w:rFonts w:ascii="仿宋_GB2312" w:hAnsi="仿宋_GB2312" w:cs="仿宋_GB2312" w:eastAsia="仿宋_GB2312"/>
                <w:sz w:val="21"/>
              </w:rPr>
              <w:t xml:space="preserve">超 高 清液 晶 屏 ， 显示比例 </w:t>
            </w:r>
            <w:r>
              <w:rPr>
                <w:rFonts w:ascii="仿宋_GB2312" w:hAnsi="仿宋_GB2312" w:cs="仿宋_GB2312" w:eastAsia="仿宋_GB2312"/>
                <w:sz w:val="21"/>
              </w:rPr>
              <w:t xml:space="preserve">16:9 </w:t>
            </w:r>
            <w:r>
              <w:rPr>
                <w:rFonts w:ascii="仿宋_GB2312" w:hAnsi="仿宋_GB2312" w:cs="仿宋_GB2312" w:eastAsia="仿宋_GB2312"/>
                <w:sz w:val="21"/>
              </w:rPr>
              <w:t>， 分辨率</w:t>
            </w:r>
            <w:r>
              <w:rPr>
                <w:rFonts w:ascii="仿宋_GB2312" w:hAnsi="仿宋_GB2312" w:cs="仿宋_GB2312" w:eastAsia="仿宋_GB2312"/>
                <w:sz w:val="21"/>
              </w:rPr>
              <w:t>≥</w:t>
            </w:r>
            <w:r>
              <w:rPr>
                <w:rFonts w:ascii="仿宋_GB2312" w:hAnsi="仿宋_GB2312" w:cs="仿宋_GB2312" w:eastAsia="仿宋_GB2312"/>
                <w:sz w:val="21"/>
              </w:rPr>
              <w:t>3840*2160</w:t>
            </w:r>
            <w:r>
              <w:rPr>
                <w:rFonts w:ascii="仿宋_GB2312" w:hAnsi="仿宋_GB2312" w:cs="仿宋_GB2312" w:eastAsia="仿宋_GB2312"/>
                <w:sz w:val="21"/>
              </w:rPr>
              <w:t>，可视角度≥</w:t>
            </w:r>
            <w:r>
              <w:rPr>
                <w:rFonts w:ascii="仿宋_GB2312" w:hAnsi="仿宋_GB2312" w:cs="仿宋_GB2312" w:eastAsia="仿宋_GB2312"/>
                <w:sz w:val="21"/>
              </w:rPr>
              <w:t>178</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、整体外观尺寸：宽≥</w:t>
            </w:r>
            <w:r>
              <w:rPr>
                <w:rFonts w:ascii="仿宋_GB2312" w:hAnsi="仿宋_GB2312" w:cs="仿宋_GB2312" w:eastAsia="仿宋_GB2312"/>
                <w:sz w:val="21"/>
              </w:rPr>
              <w:t>4200mm</w:t>
            </w:r>
            <w:r>
              <w:rPr>
                <w:rFonts w:ascii="仿宋_GB2312" w:hAnsi="仿宋_GB2312" w:cs="仿宋_GB2312" w:eastAsia="仿宋_GB2312"/>
                <w:sz w:val="21"/>
              </w:rPr>
              <w:t>，高≥</w:t>
            </w:r>
            <w:r>
              <w:rPr>
                <w:rFonts w:ascii="仿宋_GB2312" w:hAnsi="仿宋_GB2312" w:cs="仿宋_GB2312" w:eastAsia="仿宋_GB2312"/>
                <w:sz w:val="21"/>
              </w:rPr>
              <w:t>1200mm</w:t>
            </w:r>
            <w:r>
              <w:rPr>
                <w:rFonts w:ascii="仿宋_GB2312" w:hAnsi="仿宋_GB2312" w:cs="仿宋_GB2312" w:eastAsia="仿宋_GB2312"/>
                <w:sz w:val="21"/>
              </w:rPr>
              <w:t>。采用三拼接平面一体化设计。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、整机主副屏过渡平滑并在同一平面， 中间无单独边框阻隔，主屏支持普通粉笔直接书写，两侧副屏可支持多种媒介（普通粉笔、液体粉笔、成膜笔）进行板书书写。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、整机设备副屏支持磁吸附功能。</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w:t>
            </w:r>
            <w:r>
              <w:rPr>
                <w:rFonts w:ascii="仿宋_GB2312" w:hAnsi="仿宋_GB2312" w:cs="仿宋_GB2312" w:eastAsia="仿宋_GB2312"/>
                <w:sz w:val="21"/>
              </w:rPr>
              <w:t xml:space="preserve">Windows </w:t>
            </w:r>
            <w:r>
              <w:rPr>
                <w:rFonts w:ascii="仿宋_GB2312" w:hAnsi="仿宋_GB2312" w:cs="仿宋_GB2312" w:eastAsia="仿宋_GB2312"/>
                <w:sz w:val="21"/>
              </w:rPr>
              <w:t xml:space="preserve">系统中进行≥ </w:t>
            </w:r>
            <w:r>
              <w:rPr>
                <w:rFonts w:ascii="仿宋_GB2312" w:hAnsi="仿宋_GB2312" w:cs="仿宋_GB2312" w:eastAsia="仿宋_GB2312"/>
                <w:sz w:val="21"/>
              </w:rPr>
              <w:t>40</w:t>
            </w:r>
            <w:r>
              <w:rPr>
                <w:rFonts w:ascii="仿宋_GB2312" w:hAnsi="仿宋_GB2312" w:cs="仿宋_GB2312" w:eastAsia="仿宋_GB2312"/>
                <w:sz w:val="21"/>
              </w:rPr>
              <w:t>点触控</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、整机支持全通道</w:t>
            </w:r>
            <w:r>
              <w:rPr>
                <w:rFonts w:ascii="仿宋_GB2312" w:hAnsi="仿宋_GB2312" w:cs="仿宋_GB2312" w:eastAsia="仿宋_GB2312"/>
                <w:sz w:val="21"/>
              </w:rPr>
              <w:t xml:space="preserve">4K </w:t>
            </w:r>
            <w:r>
              <w:rPr>
                <w:rFonts w:ascii="仿宋_GB2312" w:hAnsi="仿宋_GB2312" w:cs="仿宋_GB2312" w:eastAsia="仿宋_GB2312"/>
                <w:sz w:val="21"/>
              </w:rPr>
              <w:t>高清显示， 内置系统均支持</w:t>
            </w:r>
            <w:r>
              <w:rPr>
                <w:rFonts w:ascii="仿宋_GB2312" w:hAnsi="仿宋_GB2312" w:cs="仿宋_GB2312" w:eastAsia="仿宋_GB2312"/>
                <w:sz w:val="21"/>
              </w:rPr>
              <w:t>4K</w:t>
            </w:r>
            <w:r>
              <w:rPr>
                <w:rFonts w:ascii="仿宋_GB2312" w:hAnsi="仿宋_GB2312" w:cs="仿宋_GB2312" w:eastAsia="仿宋_GB2312"/>
                <w:sz w:val="21"/>
              </w:rPr>
              <w:t>图像显示。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、整机最大屏幕亮度</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0cd/m</w:t>
            </w:r>
            <w:r>
              <w:rPr>
                <w:rFonts w:ascii="仿宋_GB2312" w:hAnsi="仿宋_GB2312" w:cs="仿宋_GB2312" w:eastAsia="仿宋_GB2312"/>
                <w:sz w:val="21"/>
              </w:rPr>
              <w:t>²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、整机采用硬件低蓝光背光技术。</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、屏幕结合光感调节，摄像头支持环境色温判断。</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、整机支持纸质护眼模式，可以在任意通道任意画面显示内容下实现画面纹理的实时调整；支持纸质纹理；支持透明度调节；支持色温调节。</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、屏幕采用</w:t>
            </w:r>
            <w:r>
              <w:rPr>
                <w:rFonts w:ascii="仿宋_GB2312" w:hAnsi="仿宋_GB2312" w:cs="仿宋_GB2312" w:eastAsia="仿宋_GB2312"/>
                <w:sz w:val="21"/>
              </w:rPr>
              <w:t>防眩光</w:t>
            </w:r>
            <w:r>
              <w:rPr>
                <w:rFonts w:ascii="仿宋_GB2312" w:hAnsi="仿宋_GB2312" w:cs="仿宋_GB2312" w:eastAsia="仿宋_GB2312"/>
                <w:sz w:val="21"/>
              </w:rPr>
              <w:t>钢化玻璃，钢化玻璃表面硬度</w:t>
            </w:r>
            <w:r>
              <w:rPr>
                <w:rFonts w:ascii="仿宋_GB2312" w:hAnsi="仿宋_GB2312" w:cs="仿宋_GB2312" w:eastAsia="仿宋_GB2312"/>
                <w:sz w:val="21"/>
              </w:rPr>
              <w:t>≥</w:t>
            </w:r>
            <w:r>
              <w:rPr>
                <w:rFonts w:ascii="仿宋_GB2312" w:hAnsi="仿宋_GB2312" w:cs="仿宋_GB2312" w:eastAsia="仿宋_GB2312"/>
                <w:sz w:val="21"/>
              </w:rPr>
              <w:t>9H</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、设备内置摄像头，采用一体化集成设计，视场角</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°，可拍摄生成≥</w:t>
            </w:r>
            <w:r>
              <w:rPr>
                <w:rFonts w:ascii="仿宋_GB2312" w:hAnsi="仿宋_GB2312" w:cs="仿宋_GB2312" w:eastAsia="仿宋_GB2312"/>
                <w:sz w:val="21"/>
              </w:rPr>
              <w:t xml:space="preserve">1600 </w:t>
            </w:r>
            <w:r>
              <w:rPr>
                <w:rFonts w:ascii="仿宋_GB2312" w:hAnsi="仿宋_GB2312" w:cs="仿宋_GB2312" w:eastAsia="仿宋_GB2312"/>
                <w:sz w:val="21"/>
              </w:rPr>
              <w:t>万像素的照片。</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、整机内置</w:t>
            </w:r>
            <w:r>
              <w:rPr>
                <w:rFonts w:ascii="仿宋_GB2312" w:hAnsi="仿宋_GB2312" w:cs="仿宋_GB2312" w:eastAsia="仿宋_GB2312"/>
                <w:sz w:val="21"/>
              </w:rPr>
              <w:t xml:space="preserve">8 </w:t>
            </w:r>
            <w:r>
              <w:rPr>
                <w:rFonts w:ascii="仿宋_GB2312" w:hAnsi="仿宋_GB2312" w:cs="仿宋_GB2312" w:eastAsia="仿宋_GB2312"/>
                <w:sz w:val="21"/>
              </w:rPr>
              <w:t>阵列麦克风，拾音距离≥</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米</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、整机设备内置</w:t>
            </w:r>
            <w:r>
              <w:rPr>
                <w:rFonts w:ascii="仿宋_GB2312" w:hAnsi="仿宋_GB2312" w:cs="仿宋_GB2312" w:eastAsia="仿宋_GB2312"/>
                <w:sz w:val="21"/>
              </w:rPr>
              <w:t xml:space="preserve">2.2 </w:t>
            </w:r>
            <w:r>
              <w:rPr>
                <w:rFonts w:ascii="仿宋_GB2312" w:hAnsi="仿宋_GB2312" w:cs="仿宋_GB2312" w:eastAsia="仿宋_GB2312"/>
                <w:sz w:val="21"/>
              </w:rPr>
              <w:t>声道扬声器，最大功率≥</w:t>
            </w:r>
            <w:r>
              <w:rPr>
                <w:rFonts w:ascii="仿宋_GB2312" w:hAnsi="仿宋_GB2312" w:cs="仿宋_GB2312" w:eastAsia="仿宋_GB2312"/>
                <w:sz w:val="21"/>
              </w:rPr>
              <w:t>6</w:t>
            </w:r>
            <w:r>
              <w:rPr>
                <w:rFonts w:ascii="仿宋_GB2312" w:hAnsi="仿宋_GB2312" w:cs="仿宋_GB2312" w:eastAsia="仿宋_GB2312"/>
                <w:sz w:val="21"/>
              </w:rPr>
              <w:t>0W</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、整机支持快捷调用半屏模式。</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、教学桌面支持教学常用的教学白板软件、视频展台软件、授课助手软件、</w:t>
            </w:r>
            <w:r>
              <w:rPr>
                <w:rFonts w:ascii="仿宋_GB2312" w:hAnsi="仿宋_GB2312" w:cs="仿宋_GB2312" w:eastAsia="仿宋_GB2312"/>
                <w:sz w:val="21"/>
              </w:rPr>
              <w:t>WPS</w:t>
            </w:r>
            <w:r>
              <w:rPr>
                <w:rFonts w:ascii="仿宋_GB2312" w:hAnsi="仿宋_GB2312" w:cs="仿宋_GB2312" w:eastAsia="仿宋_GB2312"/>
                <w:sz w:val="21"/>
              </w:rPr>
              <w:t>、文件管理器等</w:t>
            </w:r>
            <w:r>
              <w:rPr>
                <w:rFonts w:ascii="仿宋_GB2312" w:hAnsi="仿宋_GB2312" w:cs="仿宋_GB2312" w:eastAsia="仿宋_GB2312"/>
                <w:sz w:val="21"/>
              </w:rPr>
              <w:t>。</w:t>
            </w:r>
            <w:r>
              <w:rPr>
                <w:rFonts w:ascii="仿宋_GB2312" w:hAnsi="仿宋_GB2312" w:cs="仿宋_GB2312" w:eastAsia="仿宋_GB2312"/>
                <w:sz w:val="21"/>
              </w:rPr>
              <w:t>桌面软件支持自定义设置。</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整机安卓系统版本不低于</w:t>
            </w:r>
            <w:r>
              <w:rPr>
                <w:rFonts w:ascii="仿宋_GB2312" w:hAnsi="仿宋_GB2312" w:cs="仿宋_GB2312" w:eastAsia="仿宋_GB2312"/>
                <w:sz w:val="21"/>
              </w:rPr>
              <w:t>Android 14</w:t>
            </w:r>
            <w:r>
              <w:rPr>
                <w:rFonts w:ascii="仿宋_GB2312" w:hAnsi="仿宋_GB2312" w:cs="仿宋_GB2312" w:eastAsia="仿宋_GB2312"/>
                <w:sz w:val="21"/>
              </w:rPr>
              <w:t>，</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 xml:space="preserve">8 </w:t>
            </w:r>
            <w:r>
              <w:rPr>
                <w:rFonts w:ascii="仿宋_GB2312" w:hAnsi="仿宋_GB2312" w:cs="仿宋_GB2312" w:eastAsia="仿宋_GB2312"/>
                <w:sz w:val="21"/>
              </w:rPr>
              <w:t>核。</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 xml:space="preserve">GB DDR4 </w:t>
            </w:r>
            <w:r>
              <w:rPr>
                <w:rFonts w:ascii="仿宋_GB2312" w:hAnsi="仿宋_GB2312" w:cs="仿宋_GB2312" w:eastAsia="仿宋_GB2312"/>
                <w:sz w:val="21"/>
              </w:rPr>
              <w:t>。硬盘：≥</w:t>
            </w:r>
            <w:r>
              <w:rPr>
                <w:rFonts w:ascii="仿宋_GB2312" w:hAnsi="仿宋_GB2312" w:cs="仿宋_GB2312" w:eastAsia="仿宋_GB2312"/>
                <w:sz w:val="21"/>
              </w:rPr>
              <w:t>256GB SSD</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4"/>
                <w:b/>
              </w:rPr>
              <w:t>教学软件</w:t>
            </w:r>
            <w:r>
              <w:rPr>
                <w:rFonts w:ascii="仿宋_GB2312" w:hAnsi="仿宋_GB2312" w:cs="仿宋_GB2312" w:eastAsia="仿宋_GB2312"/>
                <w:sz w:val="24"/>
                <w:b/>
              </w:rPr>
              <w:t>（</w:t>
            </w:r>
            <w:r>
              <w:rPr>
                <w:rFonts w:ascii="仿宋_GB2312" w:hAnsi="仿宋_GB2312" w:cs="仿宋_GB2312" w:eastAsia="仿宋_GB2312"/>
                <w:sz w:val="24"/>
                <w:b/>
              </w:rPr>
              <w:t xml:space="preserve">54 </w:t>
            </w:r>
            <w:r>
              <w:rPr>
                <w:rFonts w:ascii="仿宋_GB2312" w:hAnsi="仿宋_GB2312" w:cs="仿宋_GB2312" w:eastAsia="仿宋_GB2312"/>
                <w:sz w:val="24"/>
                <w:b/>
              </w:rPr>
              <w:t>套</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采用备</w:t>
            </w:r>
            <w:r>
              <w:rPr>
                <w:rFonts w:ascii="仿宋_GB2312" w:hAnsi="仿宋_GB2312" w:cs="仿宋_GB2312" w:eastAsia="仿宋_GB2312"/>
                <w:sz w:val="21"/>
              </w:rPr>
              <w:t>课</w:t>
            </w:r>
            <w:r>
              <w:rPr>
                <w:rFonts w:ascii="仿宋_GB2312" w:hAnsi="仿宋_GB2312" w:cs="仿宋_GB2312" w:eastAsia="仿宋_GB2312"/>
                <w:sz w:val="21"/>
              </w:rPr>
              <w:t>授课一体化设计，教师可根据教学场景自由切换类</w:t>
            </w:r>
            <w:r>
              <w:rPr>
                <w:rFonts w:ascii="仿宋_GB2312" w:hAnsi="仿宋_GB2312" w:cs="仿宋_GB2312" w:eastAsia="仿宋_GB2312"/>
                <w:sz w:val="21"/>
              </w:rPr>
              <w:t>PPT</w:t>
            </w:r>
            <w:r>
              <w:rPr>
                <w:rFonts w:ascii="仿宋_GB2312" w:hAnsi="仿宋_GB2312" w:cs="仿宋_GB2312" w:eastAsia="仿宋_GB2312"/>
                <w:sz w:val="21"/>
              </w:rPr>
              <w:t>界面的备课模式与触控交互教学</w:t>
            </w:r>
            <w:r>
              <w:rPr>
                <w:rFonts w:ascii="仿宋_GB2312" w:hAnsi="仿宋_GB2312" w:cs="仿宋_GB2312" w:eastAsia="仿宋_GB2312"/>
                <w:sz w:val="21"/>
              </w:rPr>
              <w:t>模式。</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可在备课平台直接编写教案，教案为云端存储，支持文本、图片、视频、公式的插入。</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具备集体备课功能，支持上传教案、课件等资源发起集体备课研讨</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提供教案模板</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种。</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内置图片处理功能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互动教学课件支持定向精准分享。</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内置微课工具，支持快速录制微课。支持一键录制教学小视频。支持查看录制数量。</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支持通过实时音视频将课堂教学现场进行实况直播，实现异地听课、评课。支持导入图片、音视频等多媒体文件供备课使用。</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提供覆盖小学阶段的古诗词、古文教学资源：包含原文、</w:t>
            </w:r>
            <w:r>
              <w:rPr>
                <w:rFonts w:ascii="仿宋_GB2312" w:hAnsi="仿宋_GB2312" w:cs="仿宋_GB2312" w:eastAsia="仿宋_GB2312"/>
                <w:sz w:val="21"/>
              </w:rPr>
              <w:t>白话翻译、作者介绍、朗诵音频等。</w:t>
            </w:r>
            <w:r>
              <w:rPr>
                <w:rFonts w:ascii="仿宋_GB2312" w:hAnsi="仿宋_GB2312" w:cs="仿宋_GB2312" w:eastAsia="仿宋_GB2312"/>
                <w:sz w:val="21"/>
              </w:rPr>
              <w:t>可</w:t>
            </w:r>
            <w:r>
              <w:rPr>
                <w:rFonts w:ascii="仿宋_GB2312" w:hAnsi="仿宋_GB2312" w:cs="仿宋_GB2312" w:eastAsia="仿宋_GB2312"/>
                <w:sz w:val="21"/>
              </w:rPr>
              <w:t>展示诗词及作者详细背景介绍；全部古诗词资源按照年级学段、朝代、诗人进行分类，</w:t>
            </w:r>
            <w:r>
              <w:rPr>
                <w:rFonts w:ascii="仿宋_GB2312" w:hAnsi="仿宋_GB2312" w:cs="仿宋_GB2312" w:eastAsia="仿宋_GB2312"/>
                <w:sz w:val="21"/>
              </w:rPr>
              <w:t>支持分类查找</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提供覆盖小学阶段的汉字：具备汉字生字卡</w:t>
            </w:r>
            <w:r>
              <w:rPr>
                <w:rFonts w:ascii="仿宋_GB2312" w:hAnsi="仿宋_GB2312" w:cs="仿宋_GB2312" w:eastAsia="仿宋_GB2312"/>
                <w:sz w:val="21"/>
              </w:rPr>
              <w:t xml:space="preserve">≥ </w:t>
            </w:r>
            <w:r>
              <w:rPr>
                <w:rFonts w:ascii="仿宋_GB2312" w:hAnsi="仿宋_GB2312" w:cs="仿宋_GB2312" w:eastAsia="仿宋_GB2312"/>
                <w:sz w:val="21"/>
              </w:rPr>
              <w:t>45</w:t>
            </w:r>
            <w:r>
              <w:rPr>
                <w:rFonts w:ascii="仿宋_GB2312" w:hAnsi="仿宋_GB2312" w:cs="仿宋_GB2312" w:eastAsia="仿宋_GB2312"/>
                <w:sz w:val="21"/>
              </w:rPr>
              <w:t xml:space="preserve">00 </w:t>
            </w:r>
            <w:r>
              <w:rPr>
                <w:rFonts w:ascii="仿宋_GB2312" w:hAnsi="仿宋_GB2312" w:cs="仿宋_GB2312" w:eastAsia="仿宋_GB2312"/>
                <w:sz w:val="21"/>
              </w:rPr>
              <w:t>个，支持在田字格上手写输入汉字并自动识别为印刷体，可展示该汉字的部首、读音、笔画顺序、笔画数量等。笔画书写支持分步展示和连续展示，教师可一次性生成多个汉字生字卡。</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对</w:t>
            </w:r>
            <w:r>
              <w:rPr>
                <w:rFonts w:ascii="仿宋_GB2312" w:hAnsi="仿宋_GB2312" w:cs="仿宋_GB2312" w:eastAsia="仿宋_GB2312"/>
                <w:sz w:val="21"/>
              </w:rPr>
              <w:t>思维导图任意相邻节点进行</w:t>
            </w:r>
            <w:r>
              <w:rPr>
                <w:rFonts w:ascii="仿宋_GB2312" w:hAnsi="仿宋_GB2312" w:cs="仿宋_GB2312" w:eastAsia="仿宋_GB2312"/>
                <w:sz w:val="21"/>
              </w:rPr>
              <w:t>关联与</w:t>
            </w:r>
            <w:r>
              <w:rPr>
                <w:rFonts w:ascii="仿宋_GB2312" w:hAnsi="仿宋_GB2312" w:cs="仿宋_GB2312" w:eastAsia="仿宋_GB2312"/>
                <w:sz w:val="21"/>
              </w:rPr>
              <w:t>总结。</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提供覆盖小学阶段的拼音：支持在四线三格中自由输入拼音，可选择四声并支持点读。</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提供覆盖小学阶段英汉字典：支持输入英文单词生成单词卡和详解页，包含单词的释义、读音、例句、词组、近义词等，可插入多个单词卡</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jc w:val="both"/>
            </w:pPr>
            <w:r>
              <w:rPr>
                <w:rFonts w:ascii="仿宋_GB2312" w:hAnsi="仿宋_GB2312" w:cs="仿宋_GB2312" w:eastAsia="仿宋_GB2312"/>
                <w:sz w:val="24"/>
                <w:b/>
              </w:rPr>
              <w:t>学生行为评价软件</w:t>
            </w:r>
            <w:r>
              <w:rPr>
                <w:rFonts w:ascii="仿宋_GB2312" w:hAnsi="仿宋_GB2312" w:cs="仿宋_GB2312" w:eastAsia="仿宋_GB2312"/>
                <w:sz w:val="24"/>
                <w:b/>
              </w:rPr>
              <w:t>（</w:t>
            </w:r>
            <w:r>
              <w:rPr>
                <w:rFonts w:ascii="仿宋_GB2312" w:hAnsi="仿宋_GB2312" w:cs="仿宋_GB2312" w:eastAsia="仿宋_GB2312"/>
                <w:sz w:val="24"/>
                <w:b/>
              </w:rPr>
              <w:t xml:space="preserve">54 </w:t>
            </w:r>
            <w:r>
              <w:rPr>
                <w:rFonts w:ascii="仿宋_GB2312" w:hAnsi="仿宋_GB2312" w:cs="仿宋_GB2312" w:eastAsia="仿宋_GB2312"/>
                <w:sz w:val="24"/>
                <w:b/>
              </w:rPr>
              <w:t>套</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集成学校管理、教师管理、课堂表现评价、家校互联互通功能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移动端支持教师</w:t>
            </w:r>
            <w:r>
              <w:rPr>
                <w:rFonts w:ascii="仿宋_GB2312" w:hAnsi="仿宋_GB2312" w:cs="仿宋_GB2312" w:eastAsia="仿宋_GB2312"/>
                <w:sz w:val="21"/>
              </w:rPr>
              <w:t>/</w:t>
            </w:r>
            <w:r>
              <w:rPr>
                <w:rFonts w:ascii="仿宋_GB2312" w:hAnsi="仿宋_GB2312" w:cs="仿宋_GB2312" w:eastAsia="仿宋_GB2312"/>
                <w:sz w:val="21"/>
              </w:rPr>
              <w:t>家长双重身份切换，软件内可直接切换账户类型</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支持查看学生成长统计报表，按饼状图形式展现学生课堂表现情况，支持查看班级或学生个人情况，并可追溯每条评价的原因、对象、分值</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系统根据学生日常行为评价情况，为每个学生生成定制化评语。</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jc w:val="both"/>
            </w:pPr>
            <w:r>
              <w:rPr>
                <w:rFonts w:ascii="仿宋_GB2312" w:hAnsi="仿宋_GB2312" w:cs="仿宋_GB2312" w:eastAsia="仿宋_GB2312"/>
                <w:sz w:val="24"/>
                <w:b/>
              </w:rPr>
              <w:t>集控管理平台</w:t>
            </w:r>
            <w:r>
              <w:rPr>
                <w:rFonts w:ascii="仿宋_GB2312" w:hAnsi="仿宋_GB2312" w:cs="仿宋_GB2312" w:eastAsia="仿宋_GB2312"/>
                <w:sz w:val="24"/>
                <w:b/>
              </w:rPr>
              <w:t>（</w:t>
            </w:r>
            <w:r>
              <w:rPr>
                <w:rFonts w:ascii="仿宋_GB2312" w:hAnsi="仿宋_GB2312" w:cs="仿宋_GB2312" w:eastAsia="仿宋_GB2312"/>
                <w:sz w:val="24"/>
                <w:b/>
              </w:rPr>
              <w:t xml:space="preserve">54 </w:t>
            </w:r>
            <w:r>
              <w:rPr>
                <w:rFonts w:ascii="仿宋_GB2312" w:hAnsi="仿宋_GB2312" w:cs="仿宋_GB2312" w:eastAsia="仿宋_GB2312"/>
                <w:sz w:val="24"/>
                <w:b/>
              </w:rPr>
              <w:t>套</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、系统基于 </w:t>
            </w:r>
            <w:r>
              <w:rPr>
                <w:rFonts w:ascii="仿宋_GB2312" w:hAnsi="仿宋_GB2312" w:cs="仿宋_GB2312" w:eastAsia="仿宋_GB2312"/>
                <w:sz w:val="21"/>
              </w:rPr>
              <w:t xml:space="preserve">SaaS </w:t>
            </w:r>
            <w:r>
              <w:rPr>
                <w:rFonts w:ascii="仿宋_GB2312" w:hAnsi="仿宋_GB2312" w:cs="仿宋_GB2312" w:eastAsia="仿宋_GB2312"/>
                <w:sz w:val="21"/>
              </w:rPr>
              <w:t xml:space="preserve">布局，应用界面采用 </w:t>
            </w:r>
            <w:r>
              <w:rPr>
                <w:rFonts w:ascii="仿宋_GB2312" w:hAnsi="仿宋_GB2312" w:cs="仿宋_GB2312" w:eastAsia="仿宋_GB2312"/>
                <w:sz w:val="21"/>
              </w:rPr>
              <w:t xml:space="preserve">B/S </w:t>
            </w:r>
            <w:r>
              <w:rPr>
                <w:rFonts w:ascii="仿宋_GB2312" w:hAnsi="仿宋_GB2312" w:cs="仿宋_GB2312" w:eastAsia="仿宋_GB2312"/>
                <w:sz w:val="21"/>
              </w:rPr>
              <w:t xml:space="preserve">架构，支持 </w:t>
            </w:r>
            <w:r>
              <w:rPr>
                <w:rFonts w:ascii="仿宋_GB2312" w:hAnsi="仿宋_GB2312" w:cs="仿宋_GB2312" w:eastAsia="仿宋_GB2312"/>
                <w:sz w:val="21"/>
              </w:rPr>
              <w:t xml:space="preserve">Windows/Linux/Android/iOS </w:t>
            </w:r>
            <w:r>
              <w:rPr>
                <w:rFonts w:ascii="仿宋_GB2312" w:hAnsi="仿宋_GB2312" w:cs="仿宋_GB2312" w:eastAsia="仿宋_GB2312"/>
                <w:sz w:val="21"/>
              </w:rPr>
              <w:t>浏览器访问，无需安装客户端</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、支持通过设备快捷查看设备实时状态</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、支持自定义设备类型及数量，掌握校内设备分布情况；支持根据老师、学科、设备三大维度查看设备使用排行</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、支持开启手机看班服务，开启</w:t>
            </w:r>
            <w:r>
              <w:rPr>
                <w:rFonts w:ascii="仿宋_GB2312" w:hAnsi="仿宋_GB2312" w:cs="仿宋_GB2312" w:eastAsia="仿宋_GB2312"/>
                <w:sz w:val="21"/>
              </w:rPr>
              <w:t>/</w:t>
            </w:r>
            <w:r>
              <w:rPr>
                <w:rFonts w:ascii="仿宋_GB2312" w:hAnsi="仿宋_GB2312" w:cs="仿宋_GB2312" w:eastAsia="仿宋_GB2312"/>
                <w:sz w:val="21"/>
              </w:rPr>
              <w:t>关闭看班的管控功能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、支持实时查看设备当前在离线状态</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支持远程批量清理设备磁盘</w:t>
            </w:r>
            <w:r>
              <w:rPr>
                <w:rFonts w:ascii="仿宋_GB2312" w:hAnsi="仿宋_GB2312" w:cs="仿宋_GB2312" w:eastAsia="仿宋_GB2312"/>
                <w:sz w:val="21"/>
              </w:rPr>
              <w:t>，</w:t>
            </w:r>
            <w:r>
              <w:rPr>
                <w:rFonts w:ascii="仿宋_GB2312" w:hAnsi="仿宋_GB2312" w:cs="仿宋_GB2312" w:eastAsia="仿宋_GB2312"/>
                <w:sz w:val="21"/>
              </w:rPr>
              <w:t>支持设置网址访问黑名单、白名单，限制所有设备的网址访问。</w:t>
            </w:r>
          </w:p>
        </w:tc>
      </w:tr>
      <w:tr>
        <w:tc>
          <w:tcPr>
            <w:tcW w:type="dxa" w:w="2769"/>
          </w:tcPr>
          <w:p>
            <w:pPr>
              <w:pStyle w:val="null3"/>
            </w:pPr>
            <w:r>
              <w:rPr>
                <w:rFonts w:ascii="仿宋_GB2312" w:hAnsi="仿宋_GB2312" w:cs="仿宋_GB2312" w:eastAsia="仿宋_GB2312"/>
              </w:rPr>
              <w:t>42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具有弹窗拦截功能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具有冰点还原功能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jc w:val="both"/>
            </w:pPr>
            <w:r>
              <w:rPr>
                <w:rFonts w:ascii="仿宋_GB2312" w:hAnsi="仿宋_GB2312" w:cs="仿宋_GB2312" w:eastAsia="仿宋_GB2312"/>
                <w:sz w:val="24"/>
                <w:b/>
              </w:rPr>
              <w:t>视频展台</w:t>
            </w:r>
            <w:r>
              <w:rPr>
                <w:rFonts w:ascii="仿宋_GB2312" w:hAnsi="仿宋_GB2312" w:cs="仿宋_GB2312" w:eastAsia="仿宋_GB2312"/>
                <w:sz w:val="24"/>
                <w:b/>
              </w:rPr>
              <w:t>（</w:t>
            </w:r>
            <w:r>
              <w:rPr>
                <w:rFonts w:ascii="仿宋_GB2312" w:hAnsi="仿宋_GB2312" w:cs="仿宋_GB2312" w:eastAsia="仿宋_GB2312"/>
                <w:sz w:val="24"/>
                <w:b/>
              </w:rPr>
              <w:t xml:space="preserve">54 </w:t>
            </w:r>
            <w:r>
              <w:rPr>
                <w:rFonts w:ascii="仿宋_GB2312" w:hAnsi="仿宋_GB2312" w:cs="仿宋_GB2312" w:eastAsia="仿宋_GB2312"/>
                <w:sz w:val="24"/>
                <w:b/>
              </w:rPr>
              <w:t>套</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w:t>
            </w:r>
            <w:r>
              <w:rPr>
                <w:rFonts w:ascii="仿宋_GB2312" w:hAnsi="仿宋_GB2312" w:cs="仿宋_GB2312" w:eastAsia="仿宋_GB2312"/>
                <w:sz w:val="21"/>
              </w:rPr>
              <w:t>800</w:t>
            </w:r>
            <w:r>
              <w:rPr>
                <w:rFonts w:ascii="仿宋_GB2312" w:hAnsi="仿宋_GB2312" w:cs="仿宋_GB2312" w:eastAsia="仿宋_GB2312"/>
                <w:sz w:val="21"/>
              </w:rPr>
              <w:t xml:space="preserve">万像素摄像头；采用 </w:t>
            </w:r>
            <w:r>
              <w:rPr>
                <w:rFonts w:ascii="仿宋_GB2312" w:hAnsi="仿宋_GB2312" w:cs="仿宋_GB2312" w:eastAsia="仿宋_GB2312"/>
                <w:sz w:val="21"/>
              </w:rPr>
              <w:t>USB</w:t>
            </w:r>
            <w:r>
              <w:rPr>
                <w:rFonts w:ascii="仿宋_GB2312" w:hAnsi="仿宋_GB2312" w:cs="仿宋_GB2312" w:eastAsia="仿宋_GB2312"/>
                <w:sz w:val="21"/>
              </w:rPr>
              <w:t>五伏电源直接供电，无需额外配置电源适配器；箱内</w:t>
            </w:r>
            <w:r>
              <w:rPr>
                <w:rFonts w:ascii="仿宋_GB2312" w:hAnsi="仿宋_GB2312" w:cs="仿宋_GB2312" w:eastAsia="仿宋_GB2312"/>
                <w:sz w:val="21"/>
              </w:rPr>
              <w:t>USB</w:t>
            </w:r>
            <w:r>
              <w:rPr>
                <w:rFonts w:ascii="仿宋_GB2312" w:hAnsi="仿宋_GB2312" w:cs="仿宋_GB2312" w:eastAsia="仿宋_GB2312"/>
                <w:sz w:val="21"/>
              </w:rPr>
              <w:t>连线采用隐藏式设计，箱内无可见连线且</w:t>
            </w:r>
            <w:r>
              <w:rPr>
                <w:rFonts w:ascii="仿宋_GB2312" w:hAnsi="仿宋_GB2312" w:cs="仿宋_GB2312" w:eastAsia="仿宋_GB2312"/>
                <w:sz w:val="21"/>
              </w:rPr>
              <w:t>USB</w:t>
            </w:r>
            <w:r>
              <w:rPr>
                <w:rFonts w:ascii="仿宋_GB2312" w:hAnsi="仿宋_GB2312" w:cs="仿宋_GB2312" w:eastAsia="仿宋_GB2312"/>
                <w:sz w:val="21"/>
              </w:rPr>
              <w:t>口下出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 xml:space="preserve">1080P </w:t>
            </w:r>
            <w:r>
              <w:rPr>
                <w:rFonts w:ascii="仿宋_GB2312" w:hAnsi="仿宋_GB2312" w:cs="仿宋_GB2312" w:eastAsia="仿宋_GB2312"/>
                <w:sz w:val="21"/>
              </w:rPr>
              <w:t>动态视频预览帧率≥</w:t>
            </w:r>
            <w:r>
              <w:rPr>
                <w:rFonts w:ascii="仿宋_GB2312" w:hAnsi="仿宋_GB2312" w:cs="仿宋_GB2312" w:eastAsia="仿宋_GB2312"/>
                <w:sz w:val="21"/>
              </w:rPr>
              <w:t>30fps</w:t>
            </w:r>
            <w:r>
              <w:rPr>
                <w:rFonts w:ascii="仿宋_GB2312" w:hAnsi="仿宋_GB2312" w:cs="仿宋_GB2312" w:eastAsia="仿宋_GB2312"/>
                <w:sz w:val="21"/>
              </w:rPr>
              <w:t>；托板及挂墙部分采用金属加强，整机壁挂式安装</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、展示托板正上方具备</w:t>
            </w:r>
            <w:r>
              <w:rPr>
                <w:rFonts w:ascii="仿宋_GB2312" w:hAnsi="仿宋_GB2312" w:cs="仿宋_GB2312" w:eastAsia="仿宋_GB2312"/>
                <w:sz w:val="21"/>
              </w:rPr>
              <w:t>LED</w:t>
            </w:r>
            <w:r>
              <w:rPr>
                <w:rFonts w:ascii="仿宋_GB2312" w:hAnsi="仿宋_GB2312" w:cs="仿宋_GB2312" w:eastAsia="仿宋_GB2312"/>
                <w:sz w:val="21"/>
              </w:rPr>
              <w:t>补光灯</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、支持对展台画面进行放大、缩小、旋转、 自适应、冻结画面等操作。</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具备延时拍照和</w:t>
            </w:r>
            <w:r>
              <w:rPr>
                <w:rFonts w:ascii="仿宋_GB2312" w:hAnsi="仿宋_GB2312" w:cs="仿宋_GB2312" w:eastAsia="仿宋_GB2312"/>
                <w:sz w:val="21"/>
              </w:rPr>
              <w:t>图像增强功能。</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jc w:val="both"/>
            </w:pPr>
            <w:r>
              <w:rPr>
                <w:rFonts w:ascii="仿宋_GB2312" w:hAnsi="仿宋_GB2312" w:cs="仿宋_GB2312" w:eastAsia="仿宋_GB2312"/>
                <w:sz w:val="24"/>
                <w:b/>
              </w:rPr>
              <w:t>第二视角直播</w:t>
            </w:r>
            <w:r>
              <w:rPr>
                <w:rFonts w:ascii="仿宋_GB2312" w:hAnsi="仿宋_GB2312" w:cs="仿宋_GB2312" w:eastAsia="仿宋_GB2312"/>
                <w:sz w:val="24"/>
                <w:b/>
              </w:rPr>
              <w:t>、</w:t>
            </w:r>
            <w:r>
              <w:rPr>
                <w:rFonts w:ascii="仿宋_GB2312" w:hAnsi="仿宋_GB2312" w:cs="仿宋_GB2312" w:eastAsia="仿宋_GB2312"/>
                <w:sz w:val="24"/>
                <w:b/>
              </w:rPr>
              <w:t>录播</w:t>
            </w:r>
            <w:r>
              <w:rPr>
                <w:rFonts w:ascii="仿宋_GB2312" w:hAnsi="仿宋_GB2312" w:cs="仿宋_GB2312" w:eastAsia="仿宋_GB2312"/>
                <w:sz w:val="24"/>
                <w:b/>
              </w:rPr>
              <w:t>（</w:t>
            </w:r>
            <w:r>
              <w:rPr>
                <w:rFonts w:ascii="仿宋_GB2312" w:hAnsi="仿宋_GB2312" w:cs="仿宋_GB2312" w:eastAsia="仿宋_GB2312"/>
                <w:sz w:val="24"/>
                <w:b/>
              </w:rPr>
              <w:t xml:space="preserve">54 </w:t>
            </w:r>
            <w:r>
              <w:rPr>
                <w:rFonts w:ascii="仿宋_GB2312" w:hAnsi="仿宋_GB2312" w:cs="仿宋_GB2312" w:eastAsia="仿宋_GB2312"/>
                <w:sz w:val="24"/>
                <w:b/>
              </w:rPr>
              <w:t>套</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支持第二视角的直播和录播功能，要求直播或录播画面可以从黑板前方看到智慧黑板显示内容和授课老师在黑板前授课的画面。</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录制画面分辨率支持</w:t>
            </w:r>
            <w:r>
              <w:rPr>
                <w:rFonts w:ascii="仿宋_GB2312" w:hAnsi="仿宋_GB2312" w:cs="仿宋_GB2312" w:eastAsia="仿宋_GB2312"/>
                <w:sz w:val="21"/>
              </w:rPr>
              <w:t>1080p@30/25fps</w:t>
            </w:r>
            <w:r>
              <w:rPr>
                <w:rFonts w:ascii="仿宋_GB2312" w:hAnsi="仿宋_GB2312" w:cs="仿宋_GB2312" w:eastAsia="仿宋_GB2312"/>
                <w:sz w:val="21"/>
              </w:rPr>
              <w:t>、</w:t>
            </w:r>
            <w:r>
              <w:rPr>
                <w:rFonts w:ascii="仿宋_GB2312" w:hAnsi="仿宋_GB2312" w:cs="仿宋_GB2312" w:eastAsia="仿宋_GB2312"/>
                <w:sz w:val="21"/>
              </w:rPr>
              <w:t>720p@30/25fps</w:t>
            </w:r>
            <w:r>
              <w:rPr>
                <w:rFonts w:ascii="仿宋_GB2312" w:hAnsi="仿宋_GB2312" w:cs="仿宋_GB2312" w:eastAsia="仿宋_GB2312"/>
                <w:sz w:val="21"/>
              </w:rPr>
              <w:t>，码流</w:t>
            </w:r>
            <w:r>
              <w:rPr>
                <w:rFonts w:ascii="仿宋_GB2312" w:hAnsi="仿宋_GB2312" w:cs="仿宋_GB2312" w:eastAsia="仿宋_GB2312"/>
                <w:sz w:val="21"/>
              </w:rPr>
              <w:t>512Kbps~40Mbps</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jc w:val="both"/>
            </w:pPr>
            <w:r>
              <w:rPr>
                <w:rFonts w:ascii="仿宋_GB2312" w:hAnsi="仿宋_GB2312" w:cs="仿宋_GB2312" w:eastAsia="仿宋_GB2312"/>
                <w:sz w:val="24"/>
                <w:b/>
              </w:rPr>
              <w:t>音箱（</w:t>
            </w:r>
            <w:r>
              <w:rPr>
                <w:rFonts w:ascii="仿宋_GB2312" w:hAnsi="仿宋_GB2312" w:cs="仿宋_GB2312" w:eastAsia="仿宋_GB2312"/>
                <w:sz w:val="24"/>
                <w:b/>
              </w:rPr>
              <w:t xml:space="preserve">54 </w:t>
            </w:r>
            <w:r>
              <w:rPr>
                <w:rFonts w:ascii="仿宋_GB2312" w:hAnsi="仿宋_GB2312" w:cs="仿宋_GB2312" w:eastAsia="仿宋_GB2312"/>
                <w:sz w:val="24"/>
                <w:b/>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、采用功放与有源音箱一体化设计， 内置麦克风无线接收模块。</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、为确保与教室白色墙面一致，音箱采取白色外观设计。</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单只</w:t>
            </w:r>
            <w:r>
              <w:rPr>
                <w:rFonts w:ascii="仿宋_GB2312" w:hAnsi="仿宋_GB2312" w:cs="仿宋_GB2312" w:eastAsia="仿宋_GB2312"/>
                <w:sz w:val="21"/>
              </w:rPr>
              <w:t>音响额定功率</w:t>
            </w:r>
            <w:r>
              <w:rPr>
                <w:rFonts w:ascii="仿宋_GB2312" w:hAnsi="仿宋_GB2312" w:cs="仿宋_GB2312" w:eastAsia="仿宋_GB2312"/>
                <w:sz w:val="21"/>
              </w:rPr>
              <w:t>≥</w:t>
            </w:r>
            <w:r>
              <w:rPr>
                <w:rFonts w:ascii="仿宋_GB2312" w:hAnsi="仿宋_GB2312" w:cs="仿宋_GB2312" w:eastAsia="仿宋_GB2312"/>
                <w:sz w:val="21"/>
              </w:rPr>
              <w:t>15W</w:t>
            </w:r>
            <w:r>
              <w:rPr>
                <w:rFonts w:ascii="仿宋_GB2312" w:hAnsi="仿宋_GB2312" w:cs="仿宋_GB2312" w:eastAsia="仿宋_GB2312"/>
                <w:sz w:val="21"/>
              </w:rPr>
              <w:t>，喇叭单元尺寸≥</w:t>
            </w:r>
            <w:r>
              <w:rPr>
                <w:rFonts w:ascii="仿宋_GB2312" w:hAnsi="仿宋_GB2312" w:cs="仿宋_GB2312" w:eastAsia="仿宋_GB2312"/>
                <w:sz w:val="21"/>
              </w:rPr>
              <w:t>5</w:t>
            </w:r>
            <w:r>
              <w:rPr>
                <w:rFonts w:ascii="仿宋_GB2312" w:hAnsi="仿宋_GB2312" w:cs="仿宋_GB2312" w:eastAsia="仿宋_GB2312"/>
                <w:sz w:val="21"/>
              </w:rPr>
              <w:t>吋</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、端</w:t>
            </w:r>
            <w:r>
              <w:rPr>
                <w:rFonts w:ascii="仿宋_GB2312" w:hAnsi="仿宋_GB2312" w:cs="仿宋_GB2312" w:eastAsia="仿宋_GB2312"/>
                <w:sz w:val="21"/>
              </w:rPr>
              <w:t>口：</w:t>
            </w:r>
            <w:r>
              <w:rPr>
                <w:rFonts w:ascii="仿宋_GB2312" w:hAnsi="仿宋_GB2312" w:cs="仿宋_GB2312" w:eastAsia="仿宋_GB2312"/>
                <w:sz w:val="21"/>
              </w:rPr>
              <w:t>≥电源开关</w:t>
            </w:r>
            <w:r>
              <w:rPr>
                <w:rFonts w:ascii="仿宋_GB2312" w:hAnsi="仿宋_GB2312" w:cs="仿宋_GB2312" w:eastAsia="仿宋_GB2312"/>
                <w:sz w:val="21"/>
              </w:rPr>
              <w:t>*1</w:t>
            </w:r>
            <w:r>
              <w:rPr>
                <w:rFonts w:ascii="仿宋_GB2312" w:hAnsi="仿宋_GB2312" w:cs="仿宋_GB2312" w:eastAsia="仿宋_GB2312"/>
                <w:sz w:val="21"/>
              </w:rPr>
              <w:t>、 ≥</w:t>
            </w:r>
            <w:r>
              <w:rPr>
                <w:rFonts w:ascii="仿宋_GB2312" w:hAnsi="仿宋_GB2312" w:cs="仿宋_GB2312" w:eastAsia="仿宋_GB2312"/>
                <w:sz w:val="21"/>
              </w:rPr>
              <w:t>Line in*1</w:t>
            </w:r>
            <w:r>
              <w:rPr>
                <w:rFonts w:ascii="仿宋_GB2312" w:hAnsi="仿宋_GB2312" w:cs="仿宋_GB2312" w:eastAsia="仿宋_GB2312"/>
                <w:sz w:val="21"/>
              </w:rPr>
              <w:t>、 ≥</w:t>
            </w:r>
            <w:r>
              <w:rPr>
                <w:rFonts w:ascii="仿宋_GB2312" w:hAnsi="仿宋_GB2312" w:cs="仿宋_GB2312" w:eastAsia="仿宋_GB2312"/>
                <w:sz w:val="21"/>
              </w:rPr>
              <w:t>USB*1</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麦克风和音箱之间采用</w:t>
            </w:r>
            <w:r>
              <w:rPr>
                <w:rFonts w:ascii="仿宋_GB2312" w:hAnsi="仿宋_GB2312" w:cs="仿宋_GB2312" w:eastAsia="仿宋_GB2312"/>
                <w:sz w:val="21"/>
              </w:rPr>
              <w:t xml:space="preserve">Wi-Fi </w:t>
            </w:r>
            <w:r>
              <w:rPr>
                <w:rFonts w:ascii="仿宋_GB2312" w:hAnsi="仿宋_GB2312" w:cs="仿宋_GB2312" w:eastAsia="仿宋_GB2312"/>
                <w:sz w:val="21"/>
              </w:rPr>
              <w:t>传输。</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、支持自适应啸叫抑制功能。</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、支持教师扩声和输入音源叠加输出。</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jc w:val="both"/>
            </w:pPr>
            <w:r>
              <w:rPr>
                <w:rFonts w:ascii="仿宋_GB2312" w:hAnsi="仿宋_GB2312" w:cs="仿宋_GB2312" w:eastAsia="仿宋_GB2312"/>
                <w:sz w:val="24"/>
                <w:b/>
              </w:rPr>
              <w:t>无线麦克风（</w:t>
            </w:r>
            <w:r>
              <w:rPr>
                <w:rFonts w:ascii="仿宋_GB2312" w:hAnsi="仿宋_GB2312" w:cs="仿宋_GB2312" w:eastAsia="仿宋_GB2312"/>
                <w:sz w:val="24"/>
                <w:b/>
              </w:rPr>
              <w:t xml:space="preserve">54 </w:t>
            </w:r>
            <w:r>
              <w:rPr>
                <w:rFonts w:ascii="仿宋_GB2312" w:hAnsi="仿宋_GB2312" w:cs="仿宋_GB2312" w:eastAsia="仿宋_GB2312"/>
                <w:sz w:val="24"/>
                <w:b/>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无线麦克风集音频发射处理器、天线、电池、拾音麦克风于一体，配合一体化有源音箱，无需任何外接辅助设备即可实现本地扩声功能。</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一体化领夹设计</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采样率</w:t>
            </w:r>
            <w:r>
              <w:rPr>
                <w:rFonts w:ascii="仿宋_GB2312" w:hAnsi="仿宋_GB2312" w:cs="仿宋_GB2312" w:eastAsia="仿宋_GB2312"/>
                <w:sz w:val="21"/>
              </w:rPr>
              <w:t>≥</w:t>
            </w:r>
            <w:r>
              <w:rPr>
                <w:rFonts w:ascii="仿宋_GB2312" w:hAnsi="仿宋_GB2312" w:cs="仿宋_GB2312" w:eastAsia="仿宋_GB2312"/>
                <w:sz w:val="21"/>
              </w:rPr>
              <w:t>48KHz</w:t>
            </w:r>
            <w:r>
              <w:rPr>
                <w:rFonts w:ascii="仿宋_GB2312" w:hAnsi="仿宋_GB2312" w:cs="仿宋_GB2312" w:eastAsia="仿宋_GB2312"/>
                <w:sz w:val="21"/>
              </w:rPr>
              <w:t>，</w:t>
            </w:r>
            <w:r>
              <w:rPr>
                <w:rFonts w:ascii="仿宋_GB2312" w:hAnsi="仿宋_GB2312" w:cs="仿宋_GB2312" w:eastAsia="仿宋_GB2312"/>
                <w:sz w:val="21"/>
              </w:rPr>
              <w:t>16bit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频率响应不劣于</w:t>
            </w:r>
            <w:r>
              <w:rPr>
                <w:rFonts w:ascii="仿宋_GB2312" w:hAnsi="仿宋_GB2312" w:cs="仿宋_GB2312" w:eastAsia="仿宋_GB2312"/>
                <w:sz w:val="21"/>
              </w:rPr>
              <w:t>100Hz-16kHz</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用</w:t>
            </w:r>
            <w:r>
              <w:rPr>
                <w:rFonts w:ascii="仿宋_GB2312" w:hAnsi="仿宋_GB2312" w:cs="仿宋_GB2312" w:eastAsia="仿宋_GB2312"/>
                <w:sz w:val="21"/>
              </w:rPr>
              <w:t xml:space="preserve">Wi-Fi </w:t>
            </w:r>
            <w:r>
              <w:rPr>
                <w:rFonts w:ascii="仿宋_GB2312" w:hAnsi="仿宋_GB2312" w:cs="仿宋_GB2312" w:eastAsia="仿宋_GB2312"/>
                <w:sz w:val="21"/>
              </w:rPr>
              <w:t>射频频段传输。</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 xml:space="preserve">2.4GHz </w:t>
            </w:r>
            <w:r>
              <w:rPr>
                <w:rFonts w:ascii="仿宋_GB2312" w:hAnsi="仿宋_GB2312" w:cs="仿宋_GB2312" w:eastAsia="仿宋_GB2312"/>
                <w:sz w:val="21"/>
              </w:rPr>
              <w:t xml:space="preserve">与 </w:t>
            </w:r>
            <w:r>
              <w:rPr>
                <w:rFonts w:ascii="仿宋_GB2312" w:hAnsi="仿宋_GB2312" w:cs="仿宋_GB2312" w:eastAsia="仿宋_GB2312"/>
                <w:sz w:val="21"/>
              </w:rPr>
              <w:t xml:space="preserve">5.8GHz </w:t>
            </w:r>
            <w:r>
              <w:rPr>
                <w:rFonts w:ascii="仿宋_GB2312" w:hAnsi="仿宋_GB2312" w:cs="仿宋_GB2312" w:eastAsia="仿宋_GB2312"/>
                <w:sz w:val="21"/>
              </w:rPr>
              <w:t>双频段。</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电续航时间</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小时。</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采用红外对码方式连接。</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jc w:val="both"/>
            </w:pPr>
            <w:r>
              <w:rPr>
                <w:rFonts w:ascii="仿宋_GB2312" w:hAnsi="仿宋_GB2312" w:cs="仿宋_GB2312" w:eastAsia="仿宋_GB2312"/>
                <w:sz w:val="24"/>
                <w:b/>
              </w:rPr>
              <w:t>校园基础平台（</w:t>
            </w:r>
            <w:r>
              <w:rPr>
                <w:rFonts w:ascii="仿宋_GB2312" w:hAnsi="仿宋_GB2312" w:cs="仿宋_GB2312" w:eastAsia="仿宋_GB2312"/>
                <w:sz w:val="24"/>
                <w:b/>
              </w:rPr>
              <w:t>1</w:t>
            </w:r>
            <w:r>
              <w:rPr>
                <w:rFonts w:ascii="仿宋_GB2312" w:hAnsi="仿宋_GB2312" w:cs="仿宋_GB2312" w:eastAsia="仿宋_GB2312"/>
                <w:sz w:val="24"/>
                <w:b/>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、采用模块化设计 </w:t>
            </w:r>
            <w:r>
              <w:rPr>
                <w:rFonts w:ascii="仿宋_GB2312" w:hAnsi="仿宋_GB2312" w:cs="仿宋_GB2312" w:eastAsia="仿宋_GB2312"/>
                <w:sz w:val="21"/>
              </w:rPr>
              <w:t xml:space="preserve">B/S </w:t>
            </w:r>
            <w:r>
              <w:rPr>
                <w:rFonts w:ascii="仿宋_GB2312" w:hAnsi="仿宋_GB2312" w:cs="仿宋_GB2312" w:eastAsia="仿宋_GB2312"/>
                <w:sz w:val="21"/>
              </w:rPr>
              <w:t>架构。</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、账号管理功能。</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、包括教学教研、综合育人、校园安全、设备管理、应用工具、 以及基础信息模块</w:t>
            </w:r>
            <w:r>
              <w:rPr>
                <w:rFonts w:ascii="仿宋_GB2312" w:hAnsi="仿宋_GB2312" w:cs="仿宋_GB2312" w:eastAsia="仿宋_GB2312"/>
                <w:sz w:val="21"/>
              </w:rPr>
              <w:t>等</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、新闻公告：支持查看来自信发系统的消息公告，点击以弹窗的形式展示文字，</w:t>
            </w:r>
            <w:r>
              <w:rPr>
                <w:rFonts w:ascii="仿宋_GB2312" w:hAnsi="仿宋_GB2312" w:cs="仿宋_GB2312" w:eastAsia="仿宋_GB2312"/>
                <w:sz w:val="21"/>
              </w:rPr>
              <w:t>图片，视频等公告消息。</w:t>
            </w:r>
          </w:p>
        </w:tc>
      </w:tr>
      <w:tr>
        <w:tc>
          <w:tcPr>
            <w:tcW w:type="dxa" w:w="2769"/>
          </w:tcPr>
          <w:p>
            <w:pPr>
              <w:pStyle w:val="null3"/>
            </w:pPr>
            <w:r>
              <w:rPr>
                <w:rFonts w:ascii="仿宋_GB2312" w:hAnsi="仿宋_GB2312" w:cs="仿宋_GB2312" w:eastAsia="仿宋_GB2312"/>
              </w:rPr>
              <w:t>70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提供个性化工作台自定义功能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控制台</w:t>
            </w:r>
            <w:r>
              <w:rPr>
                <w:rFonts w:ascii="仿宋_GB2312" w:hAnsi="仿宋_GB2312" w:cs="仿宋_GB2312" w:eastAsia="仿宋_GB2312"/>
                <w:sz w:val="24"/>
                <w:b/>
              </w:rPr>
              <w:t>（</w:t>
            </w:r>
            <w:r>
              <w:rPr>
                <w:rFonts w:ascii="仿宋_GB2312" w:hAnsi="仿宋_GB2312" w:cs="仿宋_GB2312" w:eastAsia="仿宋_GB2312"/>
                <w:sz w:val="24"/>
                <w:b/>
              </w:rPr>
              <w:t xml:space="preserve">54 </w:t>
            </w:r>
            <w:r>
              <w:rPr>
                <w:rFonts w:ascii="仿宋_GB2312" w:hAnsi="仿宋_GB2312" w:cs="仿宋_GB2312" w:eastAsia="仿宋_GB2312"/>
                <w:sz w:val="24"/>
                <w:b/>
              </w:rPr>
              <w:t>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整体结构：木结构部分均采用</w:t>
            </w:r>
            <w:r>
              <w:rPr>
                <w:rFonts w:ascii="仿宋_GB2312" w:hAnsi="仿宋_GB2312" w:cs="仿宋_GB2312" w:eastAsia="仿宋_GB2312"/>
                <w:sz w:val="21"/>
              </w:rPr>
              <w:t>E</w:t>
            </w:r>
            <w:r>
              <w:rPr>
                <w:rFonts w:ascii="仿宋_GB2312" w:hAnsi="仿宋_GB2312" w:cs="仿宋_GB2312" w:eastAsia="仿宋_GB2312"/>
                <w:sz w:val="21"/>
              </w:rPr>
              <w:t>0</w:t>
            </w:r>
            <w:r>
              <w:rPr>
                <w:rFonts w:ascii="仿宋_GB2312" w:hAnsi="仿宋_GB2312" w:cs="仿宋_GB2312" w:eastAsia="仿宋_GB2312"/>
                <w:sz w:val="21"/>
              </w:rPr>
              <w:t>级实木颗粒板材结构，无异味、无刺激性，适配校园密闭教学环境。</w:t>
            </w:r>
          </w:p>
        </w:tc>
      </w:tr>
      <w:tr>
        <w:tc>
          <w:tcPr>
            <w:tcW w:type="dxa" w:w="2769"/>
          </w:tcPr>
          <w:p>
            <w:pPr>
              <w:pStyle w:val="null3"/>
            </w:pPr>
            <w:r>
              <w:rPr>
                <w:rFonts w:ascii="仿宋_GB2312" w:hAnsi="仿宋_GB2312" w:cs="仿宋_GB2312" w:eastAsia="仿宋_GB2312"/>
              </w:rPr>
              <w:t>72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表面处理：台面及所有外露表面需做专业防静电处理，防静电性能符合相关国家标准，避免电子教学设备受静电干扰；木结构部分需经过防火阻燃处理，燃烧性能不得低于</w:t>
            </w:r>
            <w:r>
              <w:rPr>
                <w:rFonts w:ascii="仿宋_GB2312" w:hAnsi="仿宋_GB2312" w:cs="仿宋_GB2312" w:eastAsia="仿宋_GB2312"/>
                <w:sz w:val="21"/>
              </w:rPr>
              <w:t xml:space="preserve">B1 </w:t>
            </w:r>
            <w:r>
              <w:rPr>
                <w:rFonts w:ascii="仿宋_GB2312" w:hAnsi="仿宋_GB2312" w:cs="仿宋_GB2312" w:eastAsia="仿宋_GB2312"/>
                <w:sz w:val="21"/>
              </w:rPr>
              <w:t>级，遇火不易燃烧、无有毒烟气释放。</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承重性能：讲台整体承重能力不低于</w:t>
            </w:r>
            <w:r>
              <w:rPr>
                <w:rFonts w:ascii="仿宋_GB2312" w:hAnsi="仿宋_GB2312" w:cs="仿宋_GB2312" w:eastAsia="仿宋_GB2312"/>
                <w:sz w:val="21"/>
              </w:rPr>
              <w:t>100kg</w:t>
            </w:r>
            <w:r>
              <w:rPr>
                <w:rFonts w:ascii="仿宋_GB2312" w:hAnsi="仿宋_GB2312" w:cs="仿宋_GB2312" w:eastAsia="仿宋_GB2312"/>
                <w:sz w:val="21"/>
              </w:rPr>
              <w:t>，台面均匀受力状态下无变形、开裂现象。</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规格尺寸：采用分体式结构设计，便于狭小空间运输及教室安装拼接，拼接后无明显缝隙、牢固不松动；具体尺寸为长约</w:t>
            </w:r>
            <w:r>
              <w:rPr>
                <w:rFonts w:ascii="仿宋_GB2312" w:hAnsi="仿宋_GB2312" w:cs="仿宋_GB2312" w:eastAsia="仿宋_GB2312"/>
                <w:sz w:val="21"/>
              </w:rPr>
              <w:t>1000mm</w:t>
            </w:r>
            <w:r>
              <w:rPr>
                <w:rFonts w:ascii="仿宋_GB2312" w:hAnsi="仿宋_GB2312" w:cs="仿宋_GB2312" w:eastAsia="仿宋_GB2312"/>
                <w:sz w:val="21"/>
              </w:rPr>
              <w:t>、宽约</w:t>
            </w:r>
            <w:r>
              <w:rPr>
                <w:rFonts w:ascii="仿宋_GB2312" w:hAnsi="仿宋_GB2312" w:cs="仿宋_GB2312" w:eastAsia="仿宋_GB2312"/>
                <w:sz w:val="21"/>
              </w:rPr>
              <w:t>700mm</w:t>
            </w:r>
            <w:r>
              <w:rPr>
                <w:rFonts w:ascii="仿宋_GB2312" w:hAnsi="仿宋_GB2312" w:cs="仿宋_GB2312" w:eastAsia="仿宋_GB2312"/>
                <w:sz w:val="21"/>
              </w:rPr>
              <w:t>、高约</w:t>
            </w:r>
            <w:r>
              <w:rPr>
                <w:rFonts w:ascii="仿宋_GB2312" w:hAnsi="仿宋_GB2312" w:cs="仿宋_GB2312" w:eastAsia="仿宋_GB2312"/>
                <w:sz w:val="21"/>
              </w:rPr>
              <w:t>1000mm</w:t>
            </w:r>
            <w:r>
              <w:rPr>
                <w:rFonts w:ascii="仿宋_GB2312" w:hAnsi="仿宋_GB2312" w:cs="仿宋_GB2312" w:eastAsia="仿宋_GB2312"/>
                <w:sz w:val="21"/>
              </w:rPr>
              <w:t>，实际尺寸误差控制在±</w:t>
            </w:r>
            <w:r>
              <w:rPr>
                <w:rFonts w:ascii="仿宋_GB2312" w:hAnsi="仿宋_GB2312" w:cs="仿宋_GB2312" w:eastAsia="仿宋_GB2312"/>
                <w:sz w:val="21"/>
              </w:rPr>
              <w:t>5mm</w:t>
            </w:r>
            <w:r>
              <w:rPr>
                <w:rFonts w:ascii="仿宋_GB2312" w:hAnsi="仿宋_GB2312" w:cs="仿宋_GB2312" w:eastAsia="仿宋_GB2312"/>
                <w:sz w:val="21"/>
              </w:rPr>
              <w:t>内，确保安装后贴合教室布局。</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细节设计：台面平整光滑、无凸起毛刺，边缘及转角处做圆角处理（圆角半径不小于</w:t>
            </w:r>
            <w:r>
              <w:rPr>
                <w:rFonts w:ascii="仿宋_GB2312" w:hAnsi="仿宋_GB2312" w:cs="仿宋_GB2312" w:eastAsia="仿宋_GB2312"/>
                <w:sz w:val="21"/>
              </w:rPr>
              <w:t>10mm</w:t>
            </w:r>
            <w:r>
              <w:rPr>
                <w:rFonts w:ascii="仿宋_GB2312" w:hAnsi="仿宋_GB2312" w:cs="仿宋_GB2312" w:eastAsia="仿宋_GB2312"/>
                <w:sz w:val="21"/>
              </w:rPr>
              <w:t>），防止学生及教师磕碰受伤；底部需配置防滑脚垫，避免使用时滑动，同时保护教室地面不受磨损。</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接口配置：集成嵌入式线盒，线盒位置隐蔽且便于操作，内置</w:t>
            </w:r>
            <w:r>
              <w:rPr>
                <w:rFonts w:ascii="仿宋_GB2312" w:hAnsi="仿宋_GB2312" w:cs="仿宋_GB2312" w:eastAsia="仿宋_GB2312"/>
                <w:sz w:val="21"/>
              </w:rPr>
              <w:t>3</w:t>
            </w:r>
            <w:r>
              <w:rPr>
                <w:rFonts w:ascii="仿宋_GB2312" w:hAnsi="仿宋_GB2312" w:cs="仿宋_GB2312" w:eastAsia="仿宋_GB2312"/>
                <w:sz w:val="21"/>
              </w:rPr>
              <w:t>个五孔电源插座（符合</w:t>
            </w:r>
            <w:r>
              <w:rPr>
                <w:rFonts w:ascii="仿宋_GB2312" w:hAnsi="仿宋_GB2312" w:cs="仿宋_GB2312" w:eastAsia="仿宋_GB2312"/>
                <w:sz w:val="21"/>
              </w:rPr>
              <w:t>GB 1002-2008</w:t>
            </w:r>
            <w:r>
              <w:rPr>
                <w:rFonts w:ascii="仿宋_GB2312" w:hAnsi="仿宋_GB2312" w:cs="仿宋_GB2312" w:eastAsia="仿宋_GB2312"/>
                <w:sz w:val="21"/>
              </w:rPr>
              <w:t>标准）、</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接口（规格不低于</w:t>
            </w:r>
            <w:r>
              <w:rPr>
                <w:rFonts w:ascii="仿宋_GB2312" w:hAnsi="仿宋_GB2312" w:cs="仿宋_GB2312" w:eastAsia="仿宋_GB2312"/>
                <w:sz w:val="21"/>
              </w:rPr>
              <w:t>USB3.0</w:t>
            </w:r>
            <w:r>
              <w:rPr>
                <w:rFonts w:ascii="仿宋_GB2312" w:hAnsi="仿宋_GB2312" w:cs="仿宋_GB2312" w:eastAsia="仿宋_GB2312"/>
                <w:sz w:val="21"/>
              </w:rPr>
              <w:t>，传输速率≥</w:t>
            </w:r>
            <w:r>
              <w:rPr>
                <w:rFonts w:ascii="仿宋_GB2312" w:hAnsi="仿宋_GB2312" w:cs="仿宋_GB2312" w:eastAsia="仿宋_GB2312"/>
                <w:sz w:val="21"/>
              </w:rPr>
              <w:t>5Gbps</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HDMI</w:t>
            </w:r>
            <w:r>
              <w:rPr>
                <w:rFonts w:ascii="仿宋_GB2312" w:hAnsi="仿宋_GB2312" w:cs="仿宋_GB2312" w:eastAsia="仿宋_GB2312"/>
                <w:sz w:val="21"/>
              </w:rPr>
              <w:t>接口（版本为</w:t>
            </w:r>
            <w:r>
              <w:rPr>
                <w:rFonts w:ascii="仿宋_GB2312" w:hAnsi="仿宋_GB2312" w:cs="仿宋_GB2312" w:eastAsia="仿宋_GB2312"/>
                <w:sz w:val="21"/>
              </w:rPr>
              <w:t>4K/60Hz</w:t>
            </w:r>
            <w:r>
              <w:rPr>
                <w:rFonts w:ascii="仿宋_GB2312" w:hAnsi="仿宋_GB2312" w:cs="仿宋_GB2312" w:eastAsia="仿宋_GB2312"/>
                <w:sz w:val="21"/>
              </w:rPr>
              <w:t>，支持高清音视频同步传输）、</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Type-C</w:t>
            </w:r>
            <w:r>
              <w:rPr>
                <w:rFonts w:ascii="仿宋_GB2312" w:hAnsi="仿宋_GB2312" w:cs="仿宋_GB2312" w:eastAsia="仿宋_GB2312"/>
                <w:sz w:val="21"/>
              </w:rPr>
              <w:t>接口（支持双向快充及数据传输）、</w:t>
            </w:r>
            <w:r>
              <w:rPr>
                <w:rFonts w:ascii="仿宋_GB2312" w:hAnsi="仿宋_GB2312" w:cs="仿宋_GB2312" w:eastAsia="仿宋_GB2312"/>
                <w:sz w:val="21"/>
              </w:rPr>
              <w:t>2</w:t>
            </w:r>
            <w:r>
              <w:rPr>
                <w:rFonts w:ascii="仿宋_GB2312" w:hAnsi="仿宋_GB2312" w:cs="仿宋_GB2312" w:eastAsia="仿宋_GB2312"/>
                <w:sz w:val="21"/>
              </w:rPr>
              <w:t>个网线接口（千兆速率，适配校园网络环境）。</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安全及安装：所有接口集成化设计，布线规整、隐藏式处理，避免线路裸露；接口安装牢固，插拔顺畅无松动，具备防漏电、防过载、防误触保护功能，配备独立电源开关及过载保护装置。</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jc w:val="both"/>
            </w:pPr>
            <w:r>
              <w:rPr>
                <w:rFonts w:ascii="仿宋_GB2312" w:hAnsi="仿宋_GB2312" w:cs="仿宋_GB2312" w:eastAsia="仿宋_GB2312"/>
                <w:sz w:val="24"/>
                <w:b/>
              </w:rPr>
              <w:t>其他内容（</w:t>
            </w:r>
            <w:r>
              <w:rPr>
                <w:rFonts w:ascii="仿宋_GB2312" w:hAnsi="仿宋_GB2312" w:cs="仿宋_GB2312" w:eastAsia="仿宋_GB2312"/>
                <w:sz w:val="24"/>
                <w:b/>
              </w:rPr>
              <w:t>1</w:t>
            </w:r>
            <w:r>
              <w:rPr>
                <w:rFonts w:ascii="仿宋_GB2312" w:hAnsi="仿宋_GB2312" w:cs="仿宋_GB2312" w:eastAsia="仿宋_GB2312"/>
                <w:sz w:val="24"/>
                <w:b/>
              </w:rPr>
              <w:t>项</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、原有设备的拆除、搬运、垃圾的清理；</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因智慧黑板、控制台等设施安装，需对涉及的教室强弱电进行改造</w:t>
            </w:r>
            <w:r>
              <w:rPr>
                <w:rFonts w:ascii="仿宋_GB2312" w:hAnsi="仿宋_GB2312" w:cs="仿宋_GB2312" w:eastAsia="仿宋_GB2312"/>
                <w:sz w:val="21"/>
              </w:rPr>
              <w:t>；教室墙面恢复及改造</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因智慧黑板、控制台等设施安装，需扩大讲台并铺设地胶，单个讲台面积约为</w:t>
            </w:r>
            <w:r>
              <w:rPr>
                <w:rFonts w:ascii="仿宋_GB2312" w:hAnsi="仿宋_GB2312" w:cs="仿宋_GB2312" w:eastAsia="仿宋_GB2312"/>
                <w:sz w:val="21"/>
              </w:rPr>
              <w:t>4</w:t>
            </w:r>
            <w:r>
              <w:rPr>
                <w:rFonts w:ascii="仿宋_GB2312" w:hAnsi="仿宋_GB2312" w:cs="仿宋_GB2312" w:eastAsia="仿宋_GB2312"/>
                <w:sz w:val="21"/>
              </w:rPr>
              <w:t>平方米，地胶环保等级为</w:t>
            </w:r>
            <w:r>
              <w:rPr>
                <w:rFonts w:ascii="仿宋_GB2312" w:hAnsi="仿宋_GB2312" w:cs="仿宋_GB2312" w:eastAsia="仿宋_GB2312"/>
                <w:sz w:val="21"/>
              </w:rPr>
              <w:t>E0</w:t>
            </w:r>
            <w:r>
              <w:rPr>
                <w:rFonts w:ascii="仿宋_GB2312" w:hAnsi="仿宋_GB2312" w:cs="仿宋_GB2312" w:eastAsia="仿宋_GB2312"/>
                <w:sz w:val="21"/>
              </w:rPr>
              <w:t>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 60 个日历日完成供货、安装、调试。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合同签订后，中标人送货至指定地点，安装到位并经采购人验收合格后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 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质保期：验收合格之日起不少于三年。 服务期限：产品终身维修，质保期满后，仍需提供专业维修服务，且仅收取材料费，采购人不再支付相关服务费。维修辅材报价不高于时价（供应商须填报常见维修辅材费用清单）。质保期内供应商提供免费软件升级服务。 服务响应时间：接到维修电话后 15 分钟内响应，30 分钟内给予明确答复，2 小时内到达现场维修。维修人员到现场后若问题特殊无法现场修复的，供货方需在 24 小时内提供备用设备，确保甲方正常教学工作。 产品保修期（三包期）内，修理、更换、退货要求： 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【一】采购标的的安装调试及配套工程、质量保证、售后服务等要求： 人员培训：提供设备操作培训（含教师、管理员），质保期内春季学期和秋季学期开学第一个月组织≥4课时的专项培训，提供培训资料（纸质+电子档），确保操作人员熟练掌握使用及基础故障排查。 质量标准：所有设备符合国家行业标准，无瑕疵，为原装正品（提供厂家授权证明），若存在质量问题，供应商无条件退换并承担损失。 售后服务标准要求：严格按照国家标准执行三包,严格按照招投标文件的质保期进行质保。同一故障出现2次应无条件免费更换合格产品。 定期维护要求：质保期内每年寒假和暑假分别提供不少于1次设备清洁保养（智慧黑板屏幕除尘、视频展台镜头校准、软件系统优化）。 【二】纸质投标文件要求：①为顺利推进政府采购电子化交易平台应用工作，投标人需要在线提交所有通过电子化交易平台实施的政府采购项目的投标文件，同时，线下提交纸质投标文件正本壹份、副本贰份,投标文件需包含目录、无少页、缺页、连续页码（或单独使用打码器打码）②纸质投标文件正、副本分别胶装，标明投标人名称密封递交，递交截止时间同在线递交电子投标文件截止时间一致，递交地址：陕西省西安市曲江新区雁翔路3269号旺座曲江D座30层（纸质投标文件可邮寄，邮件发出时间应在递交电子投标文件截止时间之前，邮寄地址：陕西省西安市曲江新区雁翔路3269号旺座曲江D座30层，联系人：王工，联系电话：15091632950）。③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商务响应内容满足实质性要求</w:t>
            </w:r>
          </w:p>
        </w:tc>
        <w:tc>
          <w:tcPr>
            <w:tcW w:type="dxa" w:w="3322"/>
          </w:tcPr>
          <w:p>
            <w:pPr>
              <w:pStyle w:val="null3"/>
            </w:pPr>
            <w:r>
              <w:rPr>
                <w:rFonts w:ascii="仿宋_GB2312" w:hAnsi="仿宋_GB2312" w:cs="仿宋_GB2312" w:eastAsia="仿宋_GB2312"/>
              </w:rPr>
              <w:t>商务响应内容满足《招标文件》第三章第3.4条“商务要求”、3.5条“其他要求”（合格），任意一条不满足（不合格）</w:t>
            </w:r>
          </w:p>
        </w:tc>
        <w:tc>
          <w:tcPr>
            <w:tcW w:type="dxa" w:w="1661"/>
          </w:tcPr>
          <w:p>
            <w:pPr>
              <w:pStyle w:val="null3"/>
            </w:pPr>
            <w:r>
              <w:rPr>
                <w:rFonts w:ascii="仿宋_GB2312" w:hAnsi="仿宋_GB2312" w:cs="仿宋_GB2312" w:eastAsia="仿宋_GB2312"/>
              </w:rPr>
              <w:t>产品技术参数表 辅材费用清单.docx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投标产品选型符合使用需求，配置完整合理，其型号、技术参数清晰明确，根据投标产品的技术指标和性能对招标文件的响应程度计分。 产品整体功能或技术参数完全满足招标文件要求计33分，部分项负偏离按以下说明扣分。 1、技术参数要求中标“▲”项（10项）重要要求，满分15.5分，每负偏离一项扣1.55分； 2、技术参数要求中非标“▲”项（70项）其他要求，满分17.5分，每负偏离一项扣0.25分。 注：重要要求（“▲”项）必须提供佐证材料（加盖投标人公章的产品彩页或官网截图或产品说明书或国家认可的第三方专业检测机构出具的检测报告，软件亦可提供软件界面截图等），否则视为负偏离。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投标人提供所投产品（包括但不限于智慧黑板、控制台等）合法来源渠道证明文件(产品制造商授权/销售协议/代理协议等)，每提供一个产品得1分，最多得2分。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投标人需针对本项目提供完整的项目实施方案。内容包含：①供货组织及进度安排②对接、运输及安装调试方案③人员、物力调配安排。 二、评审标准 1、完整性：方案必须全面，对评审内容中的各项要求有详细描述； 2、可实施性：切合本项目实际情况，提出步骤清晰、合理的方案； 3、针对性：方案能够紧扣项目实际情况， 内容科学合理。 三、赋分依据 ①供货组织及进度安排：每完全满足一个评审标准得1分，满分3分； ②对接、运输及安装调试方案：每完全满足一个评审标准得1分，满分3分； ③人员、物力调配安排：每完全满足一个评审标准得1分，满分3分；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 内容包含：①产品性能②使用寿命及效果③交货及安装时间保证。 二、评审标准 1.完整性：方案必须全面，对评审内容中的各项要求有详细描述； 2.可实施性：切合本项目实际情况，提出步骤清晰、合理的方案； 3.针对性：方案能够紧扣项目实际情况， 内容科学合理。 三、赋分依据 ①产品性能：每完全满足一个评审标准得1分，满分3分； ②使用寿命及效果：每完全满足一个评审标准得1分，满分3分； ③交货及安装时间保证：每完全满足一个评审标准得1分，满分3分。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投标人需针对本项目提供针对本项目拟定的管理机构、岗位职责制度、专业技术人员投入等。 二、评审标准 1、完整性：方案必须全面，对评审内容中的各项要求有详细描述； 2、可实施性：切合本项目实际情况，提出步骤清晰、合理的方案； 3、针对性：方案能够紧扣项目实际情况， 内容科学合理。 三、赋分依据 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投标人需针对本项目提供培训方案(包括培训人员安排、培训方式、培训计划及进度、培训内容、培训资料)。 二、评审标准 1、完整性：方案必须全面，对评审内容中的各项要求有详细描述； 2、可实施性：切合本项目实际情况，提出步骤清晰、合理的方案； 3、针对性：方案能够紧扣项目实际情况， 内容科学合理。 三、赋分依据 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 内容科学合理。 三、赋分依据（满分 6 分）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的，每提供一个得0.5分，满分1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提供投标人2023年1月1日以来类似项目业绩（以合同签订日期为准），每份合格业绩合同计1分，满分4分。 备注：业绩证明(以合同或中标通知书为准，须在投标文件中附合同或中标通知书的扫描件加盖单位公章)弄虚作假者，取消其中标资格。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 以调整后的价格计算）为基准价得 30 分，其他各投标人的报价得分按下列公式计算：（基准价/投标报价） ×30% × 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详见附件：辅材费用清单.docx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