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B5B2C56">
      <w:pPr>
        <w:pStyle w:val="2"/>
        <w:keepNext w:val="0"/>
        <w:keepLines w:val="0"/>
        <w:pageBreakBefore w:val="0"/>
        <w:kinsoku/>
        <w:wordWrap/>
        <w:overflowPunct/>
        <w:topLinePunct w:val="0"/>
        <w:autoSpaceDE/>
        <w:autoSpaceDN/>
        <w:bidi w:val="0"/>
        <w:adjustRightInd/>
        <w:snapToGrid/>
        <w:spacing w:line="324" w:lineRule="auto"/>
        <w:ind w:firstLine="640" w:firstLineChars="200"/>
        <w:jc w:val="center"/>
        <w:textAlignment w:val="auto"/>
        <w:rPr>
          <w:rFonts w:hint="eastAsia" w:hAnsi="宋体" w:eastAsia="宋体" w:cs="宋体"/>
          <w:b w:val="0"/>
          <w:bCs/>
          <w:sz w:val="32"/>
          <w:szCs w:val="18"/>
          <w:u w:val="single"/>
          <w:lang w:val="en-US" w:eastAsia="zh-CN"/>
        </w:rPr>
      </w:pPr>
    </w:p>
    <w:p w14:paraId="20F9B7EB">
      <w:pPr>
        <w:pStyle w:val="2"/>
        <w:keepNext w:val="0"/>
        <w:keepLines w:val="0"/>
        <w:pageBreakBefore w:val="0"/>
        <w:kinsoku/>
        <w:wordWrap/>
        <w:overflowPunct/>
        <w:topLinePunct w:val="0"/>
        <w:autoSpaceDE/>
        <w:autoSpaceDN/>
        <w:bidi w:val="0"/>
        <w:adjustRightInd/>
        <w:snapToGrid/>
        <w:spacing w:line="324" w:lineRule="auto"/>
        <w:ind w:firstLine="640" w:firstLineChars="200"/>
        <w:jc w:val="center"/>
        <w:textAlignment w:val="auto"/>
        <w:rPr>
          <w:rFonts w:hint="eastAsia" w:ascii="宋体" w:hAnsi="宋体" w:eastAsia="宋体" w:cs="宋体"/>
          <w:b w:val="0"/>
          <w:bCs/>
          <w:sz w:val="32"/>
          <w:szCs w:val="18"/>
          <w:u w:val="single"/>
          <w:lang w:val="en-US" w:eastAsia="zh-CN"/>
        </w:rPr>
      </w:pPr>
      <w:r>
        <w:rPr>
          <w:rFonts w:hint="eastAsia" w:hAnsi="宋体" w:eastAsia="宋体" w:cs="宋体"/>
          <w:b w:val="0"/>
          <w:bCs/>
          <w:sz w:val="32"/>
          <w:szCs w:val="18"/>
          <w:u w:val="single"/>
          <w:lang w:val="en-US" w:eastAsia="zh-CN"/>
        </w:rPr>
        <w:t>陕西省知识产权强省建设成果发布推广项目</w:t>
      </w:r>
    </w:p>
    <w:p w14:paraId="6A9820A3">
      <w:pPr>
        <w:pStyle w:val="2"/>
        <w:keepNext w:val="0"/>
        <w:keepLines w:val="0"/>
        <w:pageBreakBefore w:val="0"/>
        <w:kinsoku/>
        <w:wordWrap/>
        <w:overflowPunct/>
        <w:topLinePunct w:val="0"/>
        <w:autoSpaceDE/>
        <w:autoSpaceDN/>
        <w:bidi w:val="0"/>
        <w:adjustRightInd/>
        <w:snapToGrid/>
        <w:spacing w:line="324" w:lineRule="auto"/>
        <w:ind w:firstLine="420" w:firstLineChars="200"/>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w:t>
      </w:r>
    </w:p>
    <w:p w14:paraId="0DDB63F1">
      <w:pPr>
        <w:pStyle w:val="2"/>
        <w:keepNext w:val="0"/>
        <w:keepLines w:val="0"/>
        <w:pageBreakBefore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p>
    <w:p w14:paraId="61F3414C">
      <w:pPr>
        <w:keepNext w:val="0"/>
        <w:keepLines w:val="0"/>
        <w:pageBreakBefore w:val="0"/>
        <w:kinsoku/>
        <w:wordWrap/>
        <w:overflowPunct/>
        <w:topLinePunct w:val="0"/>
        <w:autoSpaceDE/>
        <w:autoSpaceDN/>
        <w:bidi w:val="0"/>
        <w:adjustRightInd/>
        <w:snapToGrid/>
        <w:spacing w:line="324" w:lineRule="auto"/>
        <w:jc w:val="center"/>
        <w:textAlignment w:val="auto"/>
        <w:outlineLvl w:val="9"/>
        <w:rPr>
          <w:rFonts w:hint="eastAsia" w:ascii="宋体" w:hAnsi="宋体" w:eastAsia="宋体" w:cs="宋体"/>
          <w:color w:val="auto"/>
          <w:sz w:val="28"/>
          <w:szCs w:val="28"/>
          <w:highlight w:val="none"/>
          <w:lang w:eastAsia="zh-CN"/>
        </w:rPr>
      </w:pPr>
      <w:r>
        <w:rPr>
          <w:rFonts w:hint="eastAsia" w:ascii="宋体" w:hAnsi="宋体" w:eastAsia="宋体" w:cs="宋体"/>
          <w:color w:val="auto"/>
          <w:sz w:val="28"/>
          <w:szCs w:val="28"/>
          <w:highlight w:val="none"/>
        </w:rPr>
        <w:t>合　　同</w:t>
      </w:r>
      <w:r>
        <w:rPr>
          <w:rFonts w:hint="eastAsia" w:ascii="宋体" w:hAnsi="宋体" w:eastAsia="宋体" w:cs="宋体"/>
          <w:color w:val="auto"/>
          <w:sz w:val="28"/>
          <w:szCs w:val="28"/>
          <w:highlight w:val="none"/>
          <w:lang w:eastAsia="zh-CN"/>
        </w:rPr>
        <w:t>（</w:t>
      </w:r>
      <w:r>
        <w:rPr>
          <w:rFonts w:hint="eastAsia" w:ascii="宋体" w:hAnsi="宋体" w:eastAsia="宋体" w:cs="宋体"/>
          <w:color w:val="auto"/>
          <w:sz w:val="28"/>
          <w:szCs w:val="28"/>
          <w:highlight w:val="none"/>
          <w:lang w:val="en-US" w:eastAsia="zh-CN"/>
        </w:rPr>
        <w:t>仅供参考</w:t>
      </w:r>
      <w:r>
        <w:rPr>
          <w:rFonts w:hint="eastAsia" w:ascii="宋体" w:hAnsi="宋体" w:eastAsia="宋体" w:cs="宋体"/>
          <w:color w:val="auto"/>
          <w:sz w:val="28"/>
          <w:szCs w:val="28"/>
          <w:highlight w:val="none"/>
          <w:lang w:eastAsia="zh-CN"/>
        </w:rPr>
        <w:t>）</w:t>
      </w:r>
    </w:p>
    <w:p w14:paraId="085CAA53">
      <w:pPr>
        <w:pStyle w:val="2"/>
        <w:keepNext w:val="0"/>
        <w:keepLines w:val="0"/>
        <w:pageBreakBefore w:val="0"/>
        <w:kinsoku/>
        <w:wordWrap/>
        <w:overflowPunct/>
        <w:topLinePunct w:val="0"/>
        <w:autoSpaceDE/>
        <w:autoSpaceDN/>
        <w:bidi w:val="0"/>
        <w:adjustRightInd/>
        <w:snapToGrid/>
        <w:spacing w:line="324" w:lineRule="auto"/>
        <w:ind w:firstLine="480" w:firstLineChars="200"/>
        <w:textAlignment w:val="auto"/>
        <w:rPr>
          <w:rFonts w:hint="eastAsia" w:ascii="宋体" w:hAnsi="宋体" w:eastAsia="宋体" w:cs="宋体"/>
          <w:color w:val="auto"/>
          <w:sz w:val="24"/>
          <w:szCs w:val="24"/>
          <w:highlight w:val="none"/>
        </w:rPr>
      </w:pPr>
    </w:p>
    <w:p w14:paraId="17E7F173">
      <w:pPr>
        <w:pStyle w:val="2"/>
        <w:keepNext w:val="0"/>
        <w:keepLines w:val="0"/>
        <w:pageBreakBefore w:val="0"/>
        <w:kinsoku/>
        <w:wordWrap/>
        <w:overflowPunct/>
        <w:topLinePunct w:val="0"/>
        <w:autoSpaceDE/>
        <w:autoSpaceDN/>
        <w:bidi w:val="0"/>
        <w:adjustRightInd/>
        <w:snapToGrid/>
        <w:spacing w:line="324" w:lineRule="auto"/>
        <w:ind w:firstLine="480" w:firstLineChars="200"/>
        <w:textAlignment w:val="auto"/>
        <w:rPr>
          <w:rFonts w:hint="eastAsia" w:ascii="宋体" w:hAnsi="宋体" w:eastAsia="宋体" w:cs="宋体"/>
          <w:color w:val="auto"/>
          <w:sz w:val="24"/>
          <w:szCs w:val="24"/>
          <w:highlight w:val="none"/>
        </w:rPr>
      </w:pPr>
    </w:p>
    <w:p w14:paraId="0956E466">
      <w:pPr>
        <w:pStyle w:val="2"/>
        <w:keepNext w:val="0"/>
        <w:keepLines w:val="0"/>
        <w:pageBreakBefore w:val="0"/>
        <w:kinsoku/>
        <w:wordWrap/>
        <w:overflowPunct/>
        <w:topLinePunct w:val="0"/>
        <w:autoSpaceDE/>
        <w:autoSpaceDN/>
        <w:bidi w:val="0"/>
        <w:adjustRightInd/>
        <w:snapToGrid/>
        <w:spacing w:line="324" w:lineRule="auto"/>
        <w:ind w:firstLine="480" w:firstLineChars="200"/>
        <w:textAlignment w:val="auto"/>
        <w:rPr>
          <w:rFonts w:hint="eastAsia" w:ascii="宋体" w:hAnsi="宋体" w:eastAsia="宋体" w:cs="宋体"/>
          <w:color w:val="auto"/>
          <w:sz w:val="24"/>
          <w:szCs w:val="24"/>
          <w:highlight w:val="none"/>
        </w:rPr>
      </w:pPr>
    </w:p>
    <w:p w14:paraId="7321A710">
      <w:pPr>
        <w:pStyle w:val="2"/>
        <w:keepNext w:val="0"/>
        <w:keepLines w:val="0"/>
        <w:pageBreakBefore w:val="0"/>
        <w:kinsoku/>
        <w:wordWrap/>
        <w:overflowPunct/>
        <w:topLinePunct w:val="0"/>
        <w:autoSpaceDE/>
        <w:autoSpaceDN/>
        <w:bidi w:val="0"/>
        <w:adjustRightInd/>
        <w:snapToGrid/>
        <w:spacing w:line="324" w:lineRule="auto"/>
        <w:ind w:firstLine="480" w:firstLineChars="200"/>
        <w:textAlignment w:val="auto"/>
        <w:rPr>
          <w:rFonts w:hint="eastAsia" w:ascii="宋体" w:hAnsi="宋体" w:eastAsia="宋体" w:cs="宋体"/>
          <w:color w:val="auto"/>
          <w:sz w:val="24"/>
          <w:szCs w:val="24"/>
          <w:highlight w:val="none"/>
        </w:rPr>
      </w:pPr>
    </w:p>
    <w:p w14:paraId="19EB8544">
      <w:pPr>
        <w:pStyle w:val="2"/>
        <w:keepNext w:val="0"/>
        <w:keepLines w:val="0"/>
        <w:pageBreakBefore w:val="0"/>
        <w:widowControl w:val="0"/>
        <w:kinsoku/>
        <w:wordWrap/>
        <w:overflowPunct/>
        <w:topLinePunct w:val="0"/>
        <w:autoSpaceDE/>
        <w:autoSpaceDN/>
        <w:bidi w:val="0"/>
        <w:adjustRightInd/>
        <w:snapToGrid/>
        <w:spacing w:line="324" w:lineRule="auto"/>
        <w:ind w:left="0" w:leftChars="0" w:firstLine="2318" w:firstLineChars="966"/>
        <w:textAlignment w:val="auto"/>
        <w:rPr>
          <w:rFonts w:hint="eastAsia" w:ascii="宋体" w:hAnsi="宋体" w:eastAsia="宋体" w:cs="宋体"/>
          <w:color w:val="auto"/>
          <w:sz w:val="24"/>
          <w:szCs w:val="24"/>
          <w:highlight w:val="none"/>
        </w:rPr>
      </w:pPr>
    </w:p>
    <w:p w14:paraId="6D4AD6F0">
      <w:pPr>
        <w:pStyle w:val="2"/>
        <w:keepNext w:val="0"/>
        <w:keepLines w:val="0"/>
        <w:pageBreakBefore w:val="0"/>
        <w:widowControl w:val="0"/>
        <w:kinsoku/>
        <w:wordWrap/>
        <w:overflowPunct/>
        <w:topLinePunct w:val="0"/>
        <w:autoSpaceDE/>
        <w:autoSpaceDN/>
        <w:bidi w:val="0"/>
        <w:adjustRightInd/>
        <w:snapToGrid/>
        <w:spacing w:line="324" w:lineRule="auto"/>
        <w:ind w:left="0" w:leftChars="0" w:firstLine="2318" w:firstLineChars="966"/>
        <w:textAlignment w:val="auto"/>
        <w:rPr>
          <w:rFonts w:hint="eastAsia" w:ascii="宋体" w:hAnsi="宋体" w:eastAsia="宋体" w:cs="宋体"/>
          <w:color w:val="auto"/>
          <w:sz w:val="24"/>
          <w:szCs w:val="24"/>
          <w:highlight w:val="none"/>
        </w:rPr>
      </w:pPr>
    </w:p>
    <w:p w14:paraId="31EEFA2A">
      <w:pPr>
        <w:pStyle w:val="2"/>
        <w:keepNext w:val="0"/>
        <w:keepLines w:val="0"/>
        <w:pageBreakBefore w:val="0"/>
        <w:widowControl w:val="0"/>
        <w:kinsoku/>
        <w:wordWrap/>
        <w:overflowPunct/>
        <w:topLinePunct w:val="0"/>
        <w:autoSpaceDE/>
        <w:autoSpaceDN/>
        <w:bidi w:val="0"/>
        <w:adjustRightInd/>
        <w:snapToGrid/>
        <w:spacing w:line="324" w:lineRule="auto"/>
        <w:ind w:left="0" w:leftChars="0" w:firstLine="2318" w:firstLineChars="966"/>
        <w:textAlignment w:val="auto"/>
        <w:rPr>
          <w:rFonts w:hint="eastAsia" w:ascii="宋体" w:hAnsi="宋体" w:eastAsia="宋体" w:cs="宋体"/>
          <w:color w:val="auto"/>
          <w:sz w:val="24"/>
          <w:szCs w:val="24"/>
          <w:highlight w:val="none"/>
        </w:rPr>
      </w:pPr>
    </w:p>
    <w:p w14:paraId="63681F31">
      <w:pPr>
        <w:pStyle w:val="2"/>
        <w:keepNext w:val="0"/>
        <w:keepLines w:val="0"/>
        <w:pageBreakBefore w:val="0"/>
        <w:widowControl w:val="0"/>
        <w:kinsoku/>
        <w:wordWrap/>
        <w:overflowPunct/>
        <w:topLinePunct w:val="0"/>
        <w:autoSpaceDE/>
        <w:autoSpaceDN/>
        <w:bidi w:val="0"/>
        <w:adjustRightInd/>
        <w:snapToGrid/>
        <w:spacing w:line="324" w:lineRule="auto"/>
        <w:ind w:left="0" w:leftChars="0" w:firstLine="2318" w:firstLineChars="966"/>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合同编号：____________________</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tab/>
      </w:r>
    </w:p>
    <w:p w14:paraId="1C0E93BB">
      <w:pPr>
        <w:pStyle w:val="2"/>
        <w:keepNext w:val="0"/>
        <w:keepLines w:val="0"/>
        <w:pageBreakBefore w:val="0"/>
        <w:widowControl w:val="0"/>
        <w:kinsoku/>
        <w:wordWrap/>
        <w:overflowPunct/>
        <w:topLinePunct w:val="0"/>
        <w:autoSpaceDE/>
        <w:autoSpaceDN/>
        <w:bidi w:val="0"/>
        <w:adjustRightInd/>
        <w:snapToGrid/>
        <w:spacing w:line="324" w:lineRule="auto"/>
        <w:ind w:left="0" w:leftChars="0" w:firstLine="2318" w:firstLineChars="966"/>
        <w:jc w:val="center"/>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 xml:space="preserve"> </w:t>
      </w:r>
    </w:p>
    <w:p w14:paraId="2F4B961D">
      <w:pPr>
        <w:pStyle w:val="2"/>
        <w:keepNext w:val="0"/>
        <w:keepLines w:val="0"/>
        <w:pageBreakBefore w:val="0"/>
        <w:widowControl w:val="0"/>
        <w:kinsoku/>
        <w:wordWrap/>
        <w:overflowPunct/>
        <w:topLinePunct w:val="0"/>
        <w:autoSpaceDE/>
        <w:autoSpaceDN/>
        <w:bidi w:val="0"/>
        <w:adjustRightInd/>
        <w:snapToGrid/>
        <w:spacing w:line="324" w:lineRule="auto"/>
        <w:ind w:left="0" w:leftChars="0" w:firstLine="2318" w:firstLineChars="966"/>
        <w:jc w:val="center"/>
        <w:textAlignment w:val="auto"/>
        <w:rPr>
          <w:rFonts w:hint="eastAsia" w:ascii="宋体" w:hAnsi="宋体" w:eastAsia="宋体" w:cs="宋体"/>
          <w:color w:val="auto"/>
          <w:sz w:val="24"/>
          <w:szCs w:val="24"/>
          <w:highlight w:val="none"/>
        </w:rPr>
      </w:pPr>
    </w:p>
    <w:p w14:paraId="3E3D5143">
      <w:pPr>
        <w:pStyle w:val="2"/>
        <w:keepNext w:val="0"/>
        <w:keepLines w:val="0"/>
        <w:pageBreakBefore w:val="0"/>
        <w:widowControl w:val="0"/>
        <w:kinsoku/>
        <w:wordWrap/>
        <w:overflowPunct/>
        <w:topLinePunct w:val="0"/>
        <w:autoSpaceDE/>
        <w:autoSpaceDN/>
        <w:bidi w:val="0"/>
        <w:adjustRightInd/>
        <w:snapToGrid/>
        <w:spacing w:line="324" w:lineRule="auto"/>
        <w:ind w:left="0" w:leftChars="0" w:firstLine="2318" w:firstLineChars="966"/>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甲　　方：____________________(采购人名称)</w:t>
      </w:r>
      <w:r>
        <w:rPr>
          <w:rFonts w:hint="eastAsia" w:ascii="宋体" w:hAnsi="宋体" w:eastAsia="宋体" w:cs="宋体"/>
          <w:color w:val="auto"/>
          <w:sz w:val="24"/>
          <w:szCs w:val="24"/>
          <w:highlight w:val="none"/>
        </w:rPr>
        <w:tab/>
      </w:r>
    </w:p>
    <w:p w14:paraId="1CA026EA">
      <w:pPr>
        <w:pStyle w:val="2"/>
        <w:keepNext w:val="0"/>
        <w:keepLines w:val="0"/>
        <w:pageBreakBefore w:val="0"/>
        <w:widowControl w:val="0"/>
        <w:kinsoku/>
        <w:wordWrap/>
        <w:overflowPunct/>
        <w:topLinePunct w:val="0"/>
        <w:autoSpaceDE/>
        <w:autoSpaceDN/>
        <w:bidi w:val="0"/>
        <w:adjustRightInd/>
        <w:snapToGrid/>
        <w:spacing w:line="324" w:lineRule="auto"/>
        <w:ind w:left="0" w:leftChars="0" w:firstLine="2318" w:firstLineChars="966"/>
        <w:jc w:val="center"/>
        <w:textAlignment w:val="auto"/>
        <w:rPr>
          <w:rFonts w:hint="eastAsia" w:ascii="宋体" w:hAnsi="宋体" w:eastAsia="宋体" w:cs="宋体"/>
          <w:color w:val="auto"/>
          <w:sz w:val="24"/>
          <w:szCs w:val="24"/>
          <w:highlight w:val="none"/>
        </w:rPr>
      </w:pPr>
    </w:p>
    <w:p w14:paraId="3CDD6943">
      <w:pPr>
        <w:pStyle w:val="2"/>
        <w:keepNext w:val="0"/>
        <w:keepLines w:val="0"/>
        <w:pageBreakBefore w:val="0"/>
        <w:widowControl w:val="0"/>
        <w:kinsoku/>
        <w:wordWrap/>
        <w:overflowPunct/>
        <w:topLinePunct w:val="0"/>
        <w:autoSpaceDE/>
        <w:autoSpaceDN/>
        <w:bidi w:val="0"/>
        <w:adjustRightInd/>
        <w:snapToGrid/>
        <w:spacing w:line="324" w:lineRule="auto"/>
        <w:ind w:left="0" w:leftChars="0" w:firstLine="2318" w:firstLineChars="966"/>
        <w:jc w:val="center"/>
        <w:textAlignment w:val="auto"/>
        <w:rPr>
          <w:rFonts w:hint="eastAsia" w:ascii="宋体" w:hAnsi="宋体" w:eastAsia="宋体" w:cs="宋体"/>
          <w:color w:val="auto"/>
          <w:sz w:val="24"/>
          <w:szCs w:val="24"/>
          <w:highlight w:val="none"/>
        </w:rPr>
      </w:pPr>
    </w:p>
    <w:p w14:paraId="17EEEF63">
      <w:pPr>
        <w:pStyle w:val="2"/>
        <w:keepNext w:val="0"/>
        <w:keepLines w:val="0"/>
        <w:pageBreakBefore w:val="0"/>
        <w:widowControl w:val="0"/>
        <w:kinsoku/>
        <w:wordWrap/>
        <w:overflowPunct/>
        <w:topLinePunct w:val="0"/>
        <w:autoSpaceDE/>
        <w:autoSpaceDN/>
        <w:bidi w:val="0"/>
        <w:adjustRightInd/>
        <w:snapToGrid/>
        <w:spacing w:line="324" w:lineRule="auto"/>
        <w:ind w:left="0" w:leftChars="0" w:firstLine="2318" w:firstLineChars="966"/>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乙　　方：____________________(中标人名称)</w:t>
      </w:r>
    </w:p>
    <w:p w14:paraId="23862F0C">
      <w:pPr>
        <w:pStyle w:val="2"/>
        <w:keepNext w:val="0"/>
        <w:keepLines w:val="0"/>
        <w:pageBreakBefore w:val="0"/>
        <w:kinsoku/>
        <w:wordWrap/>
        <w:overflowPunct/>
        <w:topLinePunct w:val="0"/>
        <w:autoSpaceDE/>
        <w:autoSpaceDN/>
        <w:bidi w:val="0"/>
        <w:adjustRightInd/>
        <w:snapToGrid/>
        <w:spacing w:line="324" w:lineRule="auto"/>
        <w:ind w:firstLine="630" w:firstLineChars="3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br w:type="page"/>
      </w:r>
      <w:r>
        <w:rPr>
          <w:rFonts w:hint="eastAsia" w:ascii="宋体" w:hAnsi="宋体" w:eastAsia="宋体" w:cs="宋体"/>
          <w:color w:val="auto"/>
          <w:sz w:val="21"/>
          <w:szCs w:val="21"/>
          <w:highlight w:val="none"/>
        </w:rPr>
        <w:t>根据《中华人民共和国政府采购法》、《中华人民共和国民法典》等有关法律法规规定，____________(采购人名称)(以下简称：“甲方”)通过______采购(采购方式)确定______(中标人名称)(以下简称：“乙方”)为______项目(项目名称)的______投标人。甲乙双方同意签署《______项目(项目名称)合同》(合同编号：______，以下简称：“合同”)。</w:t>
      </w:r>
    </w:p>
    <w:p w14:paraId="056DFB96">
      <w:pPr>
        <w:pStyle w:val="2"/>
        <w:keepNext w:val="0"/>
        <w:keepLines w:val="0"/>
        <w:pageBreakBefore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1.合同文件</w:t>
      </w:r>
    </w:p>
    <w:p w14:paraId="005725E2">
      <w:pPr>
        <w:pStyle w:val="2"/>
        <w:keepNext w:val="0"/>
        <w:keepLines w:val="0"/>
        <w:pageBreakBefore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下列文件是构成本合同不可分割的部分：</w:t>
      </w:r>
    </w:p>
    <w:p w14:paraId="7C55FBCA">
      <w:pPr>
        <w:pStyle w:val="2"/>
        <w:keepNext w:val="0"/>
        <w:keepLines w:val="0"/>
        <w:pageBreakBefore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(1)合同条款；</w:t>
      </w:r>
    </w:p>
    <w:p w14:paraId="6B1F8AC4">
      <w:pPr>
        <w:pStyle w:val="2"/>
        <w:keepNext w:val="0"/>
        <w:keepLines w:val="0"/>
        <w:pageBreakBefore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(2)中标通知书；</w:t>
      </w:r>
    </w:p>
    <w:p w14:paraId="3936B065">
      <w:pPr>
        <w:pStyle w:val="2"/>
        <w:keepNext w:val="0"/>
        <w:keepLines w:val="0"/>
        <w:pageBreakBefore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(3)招标文件</w:t>
      </w:r>
    </w:p>
    <w:p w14:paraId="77E81036">
      <w:pPr>
        <w:pStyle w:val="2"/>
        <w:keepNext w:val="0"/>
        <w:keepLines w:val="0"/>
        <w:pageBreakBefore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(4)投标文件；</w:t>
      </w:r>
    </w:p>
    <w:p w14:paraId="4BE97AEC">
      <w:pPr>
        <w:pStyle w:val="2"/>
        <w:keepNext w:val="0"/>
        <w:keepLines w:val="0"/>
        <w:pageBreakBefore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(5)其他。</w:t>
      </w:r>
    </w:p>
    <w:p w14:paraId="7104A4AA">
      <w:pPr>
        <w:pStyle w:val="2"/>
        <w:keepNext w:val="0"/>
        <w:keepLines w:val="0"/>
        <w:pageBreakBefore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2.合同标的(根据实际情况填写)</w:t>
      </w:r>
    </w:p>
    <w:tbl>
      <w:tblPr>
        <w:tblStyle w:val="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20"/>
        <w:gridCol w:w="816"/>
        <w:gridCol w:w="816"/>
        <w:gridCol w:w="5164"/>
      </w:tblGrid>
      <w:tr w14:paraId="5E5B55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20" w:type="dxa"/>
            <w:noWrap w:val="0"/>
            <w:vAlign w:val="center"/>
          </w:tcPr>
          <w:p w14:paraId="207C26E4">
            <w:pPr>
              <w:pStyle w:val="2"/>
              <w:keepNext w:val="0"/>
              <w:keepLines w:val="0"/>
              <w:pageBreakBefore w:val="0"/>
              <w:kinsoku/>
              <w:wordWrap/>
              <w:overflowPunct/>
              <w:topLinePunct w:val="0"/>
              <w:autoSpaceDE/>
              <w:autoSpaceDN/>
              <w:bidi w:val="0"/>
              <w:adjustRightInd/>
              <w:snapToGrid/>
              <w:spacing w:line="324"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服务名称</w:t>
            </w:r>
          </w:p>
        </w:tc>
        <w:tc>
          <w:tcPr>
            <w:tcW w:w="816" w:type="dxa"/>
            <w:noWrap w:val="0"/>
            <w:vAlign w:val="center"/>
          </w:tcPr>
          <w:p w14:paraId="39B0B259">
            <w:pPr>
              <w:pStyle w:val="2"/>
              <w:keepNext w:val="0"/>
              <w:keepLines w:val="0"/>
              <w:pageBreakBefore w:val="0"/>
              <w:kinsoku/>
              <w:wordWrap/>
              <w:overflowPunct/>
              <w:topLinePunct w:val="0"/>
              <w:autoSpaceDE/>
              <w:autoSpaceDN/>
              <w:bidi w:val="0"/>
              <w:adjustRightInd/>
              <w:snapToGrid/>
              <w:spacing w:line="324"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数量</w:t>
            </w:r>
          </w:p>
        </w:tc>
        <w:tc>
          <w:tcPr>
            <w:tcW w:w="816" w:type="dxa"/>
            <w:noWrap w:val="0"/>
            <w:vAlign w:val="center"/>
          </w:tcPr>
          <w:p w14:paraId="502D9F61">
            <w:pPr>
              <w:pStyle w:val="2"/>
              <w:keepNext w:val="0"/>
              <w:keepLines w:val="0"/>
              <w:pageBreakBefore w:val="0"/>
              <w:kinsoku/>
              <w:wordWrap/>
              <w:overflowPunct/>
              <w:topLinePunct w:val="0"/>
              <w:autoSpaceDE/>
              <w:autoSpaceDN/>
              <w:bidi w:val="0"/>
              <w:adjustRightInd/>
              <w:snapToGrid/>
              <w:spacing w:line="324"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单位</w:t>
            </w:r>
          </w:p>
        </w:tc>
        <w:tc>
          <w:tcPr>
            <w:tcW w:w="5164" w:type="dxa"/>
            <w:noWrap w:val="0"/>
            <w:vAlign w:val="center"/>
          </w:tcPr>
          <w:p w14:paraId="5C3ABD94">
            <w:pPr>
              <w:pStyle w:val="2"/>
              <w:keepNext w:val="0"/>
              <w:keepLines w:val="0"/>
              <w:pageBreakBefore w:val="0"/>
              <w:kinsoku/>
              <w:wordWrap/>
              <w:overflowPunct/>
              <w:topLinePunct w:val="0"/>
              <w:autoSpaceDE/>
              <w:autoSpaceDN/>
              <w:bidi w:val="0"/>
              <w:adjustRightInd/>
              <w:snapToGrid/>
              <w:spacing w:line="324"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具体服务承诺(包含但不限于服务内容、范围和基本要求)</w:t>
            </w:r>
          </w:p>
        </w:tc>
      </w:tr>
      <w:tr w14:paraId="7D28BF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20" w:type="dxa"/>
            <w:noWrap w:val="0"/>
            <w:vAlign w:val="center"/>
          </w:tcPr>
          <w:p w14:paraId="3F51A36F">
            <w:pPr>
              <w:pStyle w:val="2"/>
              <w:keepNext w:val="0"/>
              <w:keepLines w:val="0"/>
              <w:pageBreakBefore w:val="0"/>
              <w:kinsoku/>
              <w:wordWrap/>
              <w:overflowPunct/>
              <w:topLinePunct w:val="0"/>
              <w:autoSpaceDE/>
              <w:autoSpaceDN/>
              <w:bidi w:val="0"/>
              <w:adjustRightInd/>
              <w:snapToGrid/>
              <w:spacing w:line="324" w:lineRule="auto"/>
              <w:jc w:val="center"/>
              <w:textAlignment w:val="auto"/>
              <w:rPr>
                <w:rFonts w:hint="eastAsia" w:ascii="宋体" w:hAnsi="宋体" w:eastAsia="宋体" w:cs="宋体"/>
                <w:color w:val="auto"/>
                <w:sz w:val="21"/>
                <w:szCs w:val="21"/>
                <w:highlight w:val="none"/>
              </w:rPr>
            </w:pPr>
          </w:p>
        </w:tc>
        <w:tc>
          <w:tcPr>
            <w:tcW w:w="816" w:type="dxa"/>
            <w:noWrap w:val="0"/>
            <w:vAlign w:val="center"/>
          </w:tcPr>
          <w:p w14:paraId="4AE51B7A">
            <w:pPr>
              <w:pStyle w:val="2"/>
              <w:keepNext w:val="0"/>
              <w:keepLines w:val="0"/>
              <w:pageBreakBefore w:val="0"/>
              <w:kinsoku/>
              <w:wordWrap/>
              <w:overflowPunct/>
              <w:topLinePunct w:val="0"/>
              <w:autoSpaceDE/>
              <w:autoSpaceDN/>
              <w:bidi w:val="0"/>
              <w:adjustRightInd/>
              <w:snapToGrid/>
              <w:spacing w:line="324" w:lineRule="auto"/>
              <w:jc w:val="center"/>
              <w:textAlignment w:val="auto"/>
              <w:rPr>
                <w:rFonts w:hint="eastAsia" w:ascii="宋体" w:hAnsi="宋体" w:eastAsia="宋体" w:cs="宋体"/>
                <w:color w:val="auto"/>
                <w:sz w:val="21"/>
                <w:szCs w:val="21"/>
                <w:highlight w:val="none"/>
              </w:rPr>
            </w:pPr>
          </w:p>
        </w:tc>
        <w:tc>
          <w:tcPr>
            <w:tcW w:w="816" w:type="dxa"/>
            <w:noWrap w:val="0"/>
            <w:vAlign w:val="center"/>
          </w:tcPr>
          <w:p w14:paraId="3673C082">
            <w:pPr>
              <w:pStyle w:val="2"/>
              <w:keepNext w:val="0"/>
              <w:keepLines w:val="0"/>
              <w:pageBreakBefore w:val="0"/>
              <w:kinsoku/>
              <w:wordWrap/>
              <w:overflowPunct/>
              <w:topLinePunct w:val="0"/>
              <w:autoSpaceDE/>
              <w:autoSpaceDN/>
              <w:bidi w:val="0"/>
              <w:adjustRightInd/>
              <w:snapToGrid/>
              <w:spacing w:line="324"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项</w:t>
            </w:r>
          </w:p>
        </w:tc>
        <w:tc>
          <w:tcPr>
            <w:tcW w:w="5164" w:type="dxa"/>
            <w:noWrap w:val="0"/>
            <w:vAlign w:val="center"/>
          </w:tcPr>
          <w:p w14:paraId="0E1064B4">
            <w:pPr>
              <w:pStyle w:val="2"/>
              <w:keepNext w:val="0"/>
              <w:keepLines w:val="0"/>
              <w:pageBreakBefore w:val="0"/>
              <w:kinsoku/>
              <w:wordWrap/>
              <w:overflowPunct/>
              <w:topLinePunct w:val="0"/>
              <w:autoSpaceDE/>
              <w:autoSpaceDN/>
              <w:bidi w:val="0"/>
              <w:adjustRightInd/>
              <w:snapToGrid/>
              <w:spacing w:line="324" w:lineRule="auto"/>
              <w:jc w:val="center"/>
              <w:textAlignment w:val="auto"/>
              <w:rPr>
                <w:rFonts w:hint="eastAsia" w:ascii="宋体" w:hAnsi="宋体" w:eastAsia="宋体" w:cs="宋体"/>
                <w:color w:val="auto"/>
                <w:sz w:val="21"/>
                <w:szCs w:val="21"/>
                <w:highlight w:val="none"/>
              </w:rPr>
            </w:pPr>
          </w:p>
        </w:tc>
      </w:tr>
      <w:tr w14:paraId="71D563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20" w:type="dxa"/>
            <w:noWrap w:val="0"/>
            <w:vAlign w:val="center"/>
          </w:tcPr>
          <w:p w14:paraId="7DEB45D6">
            <w:pPr>
              <w:pStyle w:val="2"/>
              <w:keepNext w:val="0"/>
              <w:keepLines w:val="0"/>
              <w:pageBreakBefore w:val="0"/>
              <w:kinsoku/>
              <w:wordWrap/>
              <w:overflowPunct/>
              <w:topLinePunct w:val="0"/>
              <w:autoSpaceDE/>
              <w:autoSpaceDN/>
              <w:bidi w:val="0"/>
              <w:adjustRightInd/>
              <w:snapToGrid/>
              <w:spacing w:line="324"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w:t>
            </w:r>
          </w:p>
        </w:tc>
        <w:tc>
          <w:tcPr>
            <w:tcW w:w="816" w:type="dxa"/>
            <w:noWrap w:val="0"/>
            <w:vAlign w:val="center"/>
          </w:tcPr>
          <w:p w14:paraId="3B5ED7EB">
            <w:pPr>
              <w:pStyle w:val="2"/>
              <w:keepNext w:val="0"/>
              <w:keepLines w:val="0"/>
              <w:pageBreakBefore w:val="0"/>
              <w:kinsoku/>
              <w:wordWrap/>
              <w:overflowPunct/>
              <w:topLinePunct w:val="0"/>
              <w:autoSpaceDE/>
              <w:autoSpaceDN/>
              <w:bidi w:val="0"/>
              <w:adjustRightInd/>
              <w:snapToGrid/>
              <w:spacing w:line="324" w:lineRule="auto"/>
              <w:jc w:val="center"/>
              <w:textAlignment w:val="auto"/>
              <w:rPr>
                <w:rFonts w:hint="eastAsia" w:ascii="宋体" w:hAnsi="宋体" w:eastAsia="宋体" w:cs="宋体"/>
                <w:color w:val="auto"/>
                <w:sz w:val="21"/>
                <w:szCs w:val="21"/>
                <w:highlight w:val="none"/>
              </w:rPr>
            </w:pPr>
          </w:p>
        </w:tc>
        <w:tc>
          <w:tcPr>
            <w:tcW w:w="816" w:type="dxa"/>
            <w:noWrap w:val="0"/>
            <w:vAlign w:val="center"/>
          </w:tcPr>
          <w:p w14:paraId="49E94EA2">
            <w:pPr>
              <w:pStyle w:val="2"/>
              <w:keepNext w:val="0"/>
              <w:keepLines w:val="0"/>
              <w:pageBreakBefore w:val="0"/>
              <w:kinsoku/>
              <w:wordWrap/>
              <w:overflowPunct/>
              <w:topLinePunct w:val="0"/>
              <w:autoSpaceDE/>
              <w:autoSpaceDN/>
              <w:bidi w:val="0"/>
              <w:adjustRightInd/>
              <w:snapToGrid/>
              <w:spacing w:line="324" w:lineRule="auto"/>
              <w:jc w:val="center"/>
              <w:textAlignment w:val="auto"/>
              <w:rPr>
                <w:rFonts w:hint="eastAsia" w:ascii="宋体" w:hAnsi="宋体" w:eastAsia="宋体" w:cs="宋体"/>
                <w:color w:val="auto"/>
                <w:sz w:val="21"/>
                <w:szCs w:val="21"/>
                <w:highlight w:val="none"/>
              </w:rPr>
            </w:pPr>
          </w:p>
        </w:tc>
        <w:tc>
          <w:tcPr>
            <w:tcW w:w="5164" w:type="dxa"/>
            <w:noWrap w:val="0"/>
            <w:vAlign w:val="center"/>
          </w:tcPr>
          <w:p w14:paraId="3FFD2F43">
            <w:pPr>
              <w:pStyle w:val="2"/>
              <w:keepNext w:val="0"/>
              <w:keepLines w:val="0"/>
              <w:pageBreakBefore w:val="0"/>
              <w:kinsoku/>
              <w:wordWrap/>
              <w:overflowPunct/>
              <w:topLinePunct w:val="0"/>
              <w:autoSpaceDE/>
              <w:autoSpaceDN/>
              <w:bidi w:val="0"/>
              <w:adjustRightInd/>
              <w:snapToGrid/>
              <w:spacing w:line="324" w:lineRule="auto"/>
              <w:jc w:val="center"/>
              <w:textAlignment w:val="auto"/>
              <w:rPr>
                <w:rFonts w:hint="eastAsia" w:ascii="宋体" w:hAnsi="宋体" w:eastAsia="宋体" w:cs="宋体"/>
                <w:color w:val="auto"/>
                <w:sz w:val="21"/>
                <w:szCs w:val="21"/>
                <w:highlight w:val="none"/>
              </w:rPr>
            </w:pPr>
          </w:p>
        </w:tc>
      </w:tr>
    </w:tbl>
    <w:p w14:paraId="394B40CB">
      <w:pPr>
        <w:pStyle w:val="2"/>
        <w:keepNext w:val="0"/>
        <w:keepLines w:val="0"/>
        <w:pageBreakBefore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3.合同金额及付款方式</w:t>
      </w:r>
    </w:p>
    <w:p w14:paraId="00DE96CE">
      <w:pPr>
        <w:pStyle w:val="2"/>
        <w:keepNext w:val="0"/>
        <w:keepLines w:val="0"/>
        <w:pageBreakBefore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3.1合同金额</w:t>
      </w:r>
    </w:p>
    <w:p w14:paraId="66BE03F3">
      <w:pPr>
        <w:pStyle w:val="2"/>
        <w:keepNext w:val="0"/>
        <w:keepLines w:val="0"/>
        <w:pageBreakBefore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本合同总金额为人民币______元(</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______)。本合同金额已包含但不限于乙方为提供服务所产生的全部成本、预期利益、售后服务、税费和合同中规定乙方应承担的其他义务的费用等。</w:t>
      </w:r>
    </w:p>
    <w:p w14:paraId="016BD33C">
      <w:pPr>
        <w:pStyle w:val="2"/>
        <w:keepNext w:val="0"/>
        <w:keepLines w:val="0"/>
        <w:pageBreakBefore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3.2付款方式</w:t>
      </w:r>
    </w:p>
    <w:p w14:paraId="7AEBBA73">
      <w:pPr>
        <w:pStyle w:val="2"/>
        <w:keepNext w:val="0"/>
        <w:keepLines w:val="0"/>
        <w:pageBreakBefore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4.合同签订地</w:t>
      </w:r>
    </w:p>
    <w:p w14:paraId="1B8B56CF">
      <w:pPr>
        <w:pStyle w:val="2"/>
        <w:keepNext w:val="0"/>
        <w:keepLines w:val="0"/>
        <w:pageBreakBefore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根据实际情况填写</w:t>
      </w:r>
    </w:p>
    <w:p w14:paraId="180A8FD0">
      <w:pPr>
        <w:pStyle w:val="2"/>
        <w:keepNext w:val="0"/>
        <w:keepLines w:val="0"/>
        <w:pageBreakBefore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5.合同生效</w:t>
      </w:r>
    </w:p>
    <w:p w14:paraId="271CEE89">
      <w:pPr>
        <w:pStyle w:val="2"/>
        <w:keepNext w:val="0"/>
        <w:keepLines w:val="0"/>
        <w:pageBreakBefore w:val="0"/>
        <w:kinsoku/>
        <w:wordWrap/>
        <w:overflowPunct/>
        <w:topLinePunct w:val="0"/>
        <w:autoSpaceDE/>
        <w:autoSpaceDN/>
        <w:bidi w:val="0"/>
        <w:adjustRightInd/>
        <w:snapToGrid/>
        <w:spacing w:line="324" w:lineRule="auto"/>
        <w:ind w:firstLine="525" w:firstLineChars="25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本合同一式肆份，甲方执贰份、乙方执贰份。在甲、乙签字盖章后生效，合同执行完毕自动失效（合同的服务承诺则长期有效）。</w:t>
      </w:r>
    </w:p>
    <w:p w14:paraId="171B4AF0">
      <w:pPr>
        <w:pStyle w:val="2"/>
        <w:keepNext w:val="0"/>
        <w:keepLines w:val="0"/>
        <w:pageBreakBefore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br w:type="page"/>
      </w:r>
    </w:p>
    <w:tbl>
      <w:tblPr>
        <w:tblStyle w:val="3"/>
        <w:tblW w:w="0" w:type="auto"/>
        <w:tblInd w:w="93" w:type="dxa"/>
        <w:tblLayout w:type="fixed"/>
        <w:tblCellMar>
          <w:top w:w="0" w:type="dxa"/>
          <w:left w:w="108" w:type="dxa"/>
          <w:bottom w:w="0" w:type="dxa"/>
          <w:right w:w="108" w:type="dxa"/>
        </w:tblCellMar>
      </w:tblPr>
      <w:tblGrid>
        <w:gridCol w:w="4551"/>
        <w:gridCol w:w="4253"/>
      </w:tblGrid>
      <w:tr w14:paraId="4E1DFA46">
        <w:tblPrEx>
          <w:tblCellMar>
            <w:top w:w="0" w:type="dxa"/>
            <w:left w:w="108" w:type="dxa"/>
            <w:bottom w:w="0" w:type="dxa"/>
            <w:right w:w="108" w:type="dxa"/>
          </w:tblCellMar>
        </w:tblPrEx>
        <w:trPr>
          <w:trHeight w:val="390" w:hRule="atLeast"/>
        </w:trPr>
        <w:tc>
          <w:tcPr>
            <w:tcW w:w="4551" w:type="dxa"/>
            <w:tcBorders>
              <w:top w:val="single" w:color="auto" w:sz="8" w:space="0"/>
              <w:left w:val="single" w:color="auto" w:sz="8" w:space="0"/>
              <w:bottom w:val="single" w:color="auto" w:sz="8" w:space="0"/>
              <w:right w:val="single" w:color="auto" w:sz="8" w:space="0"/>
            </w:tcBorders>
            <w:noWrap w:val="0"/>
            <w:vAlign w:val="center"/>
          </w:tcPr>
          <w:p w14:paraId="092C40DF">
            <w:pPr>
              <w:keepNext w:val="0"/>
              <w:keepLines w:val="0"/>
              <w:pageBreakBefore w:val="0"/>
              <w:widowControl/>
              <w:kinsoku/>
              <w:wordWrap/>
              <w:overflowPunct/>
              <w:topLinePunct w:val="0"/>
              <w:autoSpaceDE/>
              <w:autoSpaceDN/>
              <w:bidi w:val="0"/>
              <w:adjustRightInd/>
              <w:snapToGrid/>
              <w:spacing w:line="324" w:lineRule="auto"/>
              <w:jc w:val="left"/>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甲  方</w:t>
            </w:r>
          </w:p>
        </w:tc>
        <w:tc>
          <w:tcPr>
            <w:tcW w:w="4253" w:type="dxa"/>
            <w:tcBorders>
              <w:top w:val="single" w:color="auto" w:sz="8" w:space="0"/>
              <w:left w:val="nil"/>
              <w:bottom w:val="single" w:color="auto" w:sz="8" w:space="0"/>
              <w:right w:val="single" w:color="auto" w:sz="8" w:space="0"/>
            </w:tcBorders>
            <w:noWrap w:val="0"/>
            <w:vAlign w:val="center"/>
          </w:tcPr>
          <w:p w14:paraId="7BC71D6F">
            <w:pPr>
              <w:keepNext w:val="0"/>
              <w:keepLines w:val="0"/>
              <w:pageBreakBefore w:val="0"/>
              <w:widowControl/>
              <w:kinsoku/>
              <w:wordWrap/>
              <w:overflowPunct/>
              <w:topLinePunct w:val="0"/>
              <w:autoSpaceDE/>
              <w:autoSpaceDN/>
              <w:bidi w:val="0"/>
              <w:adjustRightInd/>
              <w:snapToGrid/>
              <w:spacing w:line="324" w:lineRule="auto"/>
              <w:jc w:val="left"/>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乙  方</w:t>
            </w:r>
          </w:p>
        </w:tc>
      </w:tr>
      <w:tr w14:paraId="73966280">
        <w:tblPrEx>
          <w:tblCellMar>
            <w:top w:w="0" w:type="dxa"/>
            <w:left w:w="108" w:type="dxa"/>
            <w:bottom w:w="0" w:type="dxa"/>
            <w:right w:w="108" w:type="dxa"/>
          </w:tblCellMar>
        </w:tblPrEx>
        <w:trPr>
          <w:trHeight w:val="735" w:hRule="atLeast"/>
        </w:trPr>
        <w:tc>
          <w:tcPr>
            <w:tcW w:w="4551" w:type="dxa"/>
            <w:vMerge w:val="restart"/>
            <w:tcBorders>
              <w:top w:val="nil"/>
              <w:left w:val="single" w:color="auto" w:sz="8" w:space="0"/>
              <w:bottom w:val="single" w:color="000000" w:sz="8" w:space="0"/>
              <w:right w:val="single" w:color="auto" w:sz="8" w:space="0"/>
            </w:tcBorders>
            <w:noWrap w:val="0"/>
            <w:vAlign w:val="center"/>
          </w:tcPr>
          <w:p w14:paraId="1995C3CB">
            <w:pPr>
              <w:keepNext w:val="0"/>
              <w:keepLines w:val="0"/>
              <w:pageBreakBefore w:val="0"/>
              <w:widowControl/>
              <w:kinsoku/>
              <w:wordWrap/>
              <w:overflowPunct/>
              <w:topLinePunct w:val="0"/>
              <w:autoSpaceDE/>
              <w:autoSpaceDN/>
              <w:bidi w:val="0"/>
              <w:adjustRightInd/>
              <w:snapToGrid/>
              <w:spacing w:line="324" w:lineRule="auto"/>
              <w:jc w:val="center"/>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（盖章）</w:t>
            </w:r>
          </w:p>
        </w:tc>
        <w:tc>
          <w:tcPr>
            <w:tcW w:w="4253" w:type="dxa"/>
            <w:tcBorders>
              <w:top w:val="nil"/>
              <w:left w:val="nil"/>
              <w:bottom w:val="nil"/>
              <w:right w:val="single" w:color="auto" w:sz="8" w:space="0"/>
            </w:tcBorders>
            <w:noWrap w:val="0"/>
            <w:vAlign w:val="center"/>
          </w:tcPr>
          <w:p w14:paraId="67E798CB">
            <w:pPr>
              <w:keepNext w:val="0"/>
              <w:keepLines w:val="0"/>
              <w:pageBreakBefore w:val="0"/>
              <w:widowControl/>
              <w:kinsoku/>
              <w:wordWrap/>
              <w:overflowPunct/>
              <w:topLinePunct w:val="0"/>
              <w:autoSpaceDE/>
              <w:autoSpaceDN/>
              <w:bidi w:val="0"/>
              <w:adjustRightInd/>
              <w:snapToGrid/>
              <w:spacing w:line="324" w:lineRule="auto"/>
              <w:jc w:val="center"/>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（盖章）</w:t>
            </w:r>
          </w:p>
        </w:tc>
      </w:tr>
      <w:tr w14:paraId="0498ECE2">
        <w:tblPrEx>
          <w:tblCellMar>
            <w:top w:w="0" w:type="dxa"/>
            <w:left w:w="108" w:type="dxa"/>
            <w:bottom w:w="0" w:type="dxa"/>
            <w:right w:w="108" w:type="dxa"/>
          </w:tblCellMar>
        </w:tblPrEx>
        <w:trPr>
          <w:trHeight w:val="235" w:hRule="atLeast"/>
        </w:trPr>
        <w:tc>
          <w:tcPr>
            <w:tcW w:w="4551" w:type="dxa"/>
            <w:vMerge w:val="continue"/>
            <w:tcBorders>
              <w:top w:val="nil"/>
              <w:left w:val="single" w:color="auto" w:sz="8" w:space="0"/>
              <w:bottom w:val="single" w:color="000000" w:sz="8" w:space="0"/>
              <w:right w:val="single" w:color="auto" w:sz="8" w:space="0"/>
            </w:tcBorders>
            <w:noWrap w:val="0"/>
            <w:vAlign w:val="center"/>
          </w:tcPr>
          <w:p w14:paraId="47B68EA4">
            <w:pPr>
              <w:keepNext w:val="0"/>
              <w:keepLines w:val="0"/>
              <w:pageBreakBefore w:val="0"/>
              <w:widowControl/>
              <w:kinsoku/>
              <w:wordWrap/>
              <w:overflowPunct/>
              <w:topLinePunct w:val="0"/>
              <w:autoSpaceDE/>
              <w:autoSpaceDN/>
              <w:bidi w:val="0"/>
              <w:adjustRightInd/>
              <w:snapToGrid/>
              <w:spacing w:line="324" w:lineRule="auto"/>
              <w:jc w:val="left"/>
              <w:textAlignment w:val="auto"/>
              <w:rPr>
                <w:rFonts w:hint="eastAsia" w:ascii="宋体" w:hAnsi="宋体" w:eastAsia="宋体" w:cs="宋体"/>
                <w:color w:val="auto"/>
                <w:kern w:val="0"/>
                <w:sz w:val="21"/>
                <w:szCs w:val="21"/>
                <w:highlight w:val="none"/>
              </w:rPr>
            </w:pPr>
          </w:p>
        </w:tc>
        <w:tc>
          <w:tcPr>
            <w:tcW w:w="4253" w:type="dxa"/>
            <w:tcBorders>
              <w:top w:val="nil"/>
              <w:left w:val="nil"/>
              <w:bottom w:val="single" w:color="auto" w:sz="8" w:space="0"/>
              <w:right w:val="single" w:color="auto" w:sz="8" w:space="0"/>
            </w:tcBorders>
            <w:noWrap w:val="0"/>
            <w:vAlign w:val="center"/>
          </w:tcPr>
          <w:p w14:paraId="2071B211">
            <w:pPr>
              <w:keepNext w:val="0"/>
              <w:keepLines w:val="0"/>
              <w:pageBreakBefore w:val="0"/>
              <w:widowControl/>
              <w:kinsoku/>
              <w:wordWrap/>
              <w:overflowPunct/>
              <w:topLinePunct w:val="0"/>
              <w:autoSpaceDE/>
              <w:autoSpaceDN/>
              <w:bidi w:val="0"/>
              <w:adjustRightInd/>
              <w:snapToGrid/>
              <w:spacing w:line="324" w:lineRule="auto"/>
              <w:jc w:val="center"/>
              <w:textAlignment w:val="auto"/>
              <w:rPr>
                <w:rFonts w:hint="eastAsia" w:ascii="宋体" w:hAnsi="宋体" w:eastAsia="宋体" w:cs="宋体"/>
                <w:color w:val="auto"/>
                <w:kern w:val="0"/>
                <w:sz w:val="21"/>
                <w:szCs w:val="21"/>
                <w:highlight w:val="none"/>
              </w:rPr>
            </w:pPr>
          </w:p>
        </w:tc>
      </w:tr>
      <w:tr w14:paraId="78E2D5D0">
        <w:tblPrEx>
          <w:tblCellMar>
            <w:top w:w="0" w:type="dxa"/>
            <w:left w:w="108" w:type="dxa"/>
            <w:bottom w:w="0" w:type="dxa"/>
            <w:right w:w="108" w:type="dxa"/>
          </w:tblCellMar>
        </w:tblPrEx>
        <w:trPr>
          <w:trHeight w:val="390" w:hRule="atLeast"/>
        </w:trPr>
        <w:tc>
          <w:tcPr>
            <w:tcW w:w="4551" w:type="dxa"/>
            <w:tcBorders>
              <w:top w:val="nil"/>
              <w:left w:val="single" w:color="auto" w:sz="8" w:space="0"/>
              <w:bottom w:val="single" w:color="auto" w:sz="8" w:space="0"/>
              <w:right w:val="single" w:color="auto" w:sz="8" w:space="0"/>
            </w:tcBorders>
            <w:noWrap w:val="0"/>
            <w:vAlign w:val="center"/>
          </w:tcPr>
          <w:p w14:paraId="5309F7F5">
            <w:pPr>
              <w:keepNext w:val="0"/>
              <w:keepLines w:val="0"/>
              <w:pageBreakBefore w:val="0"/>
              <w:widowControl/>
              <w:kinsoku/>
              <w:wordWrap/>
              <w:overflowPunct/>
              <w:topLinePunct w:val="0"/>
              <w:autoSpaceDE/>
              <w:autoSpaceDN/>
              <w:bidi w:val="0"/>
              <w:adjustRightInd/>
              <w:snapToGrid/>
              <w:spacing w:line="324" w:lineRule="auto"/>
              <w:jc w:val="left"/>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地址：</w:t>
            </w:r>
          </w:p>
        </w:tc>
        <w:tc>
          <w:tcPr>
            <w:tcW w:w="4253" w:type="dxa"/>
            <w:tcBorders>
              <w:top w:val="nil"/>
              <w:left w:val="nil"/>
              <w:bottom w:val="single" w:color="auto" w:sz="8" w:space="0"/>
              <w:right w:val="single" w:color="auto" w:sz="8" w:space="0"/>
            </w:tcBorders>
            <w:noWrap w:val="0"/>
            <w:vAlign w:val="center"/>
          </w:tcPr>
          <w:p w14:paraId="704895D5">
            <w:pPr>
              <w:keepNext w:val="0"/>
              <w:keepLines w:val="0"/>
              <w:pageBreakBefore w:val="0"/>
              <w:widowControl/>
              <w:kinsoku/>
              <w:wordWrap/>
              <w:overflowPunct/>
              <w:topLinePunct w:val="0"/>
              <w:autoSpaceDE/>
              <w:autoSpaceDN/>
              <w:bidi w:val="0"/>
              <w:adjustRightInd/>
              <w:snapToGrid/>
              <w:spacing w:line="324" w:lineRule="auto"/>
              <w:jc w:val="left"/>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地址：</w:t>
            </w:r>
          </w:p>
        </w:tc>
      </w:tr>
      <w:tr w14:paraId="574496A2">
        <w:tblPrEx>
          <w:tblCellMar>
            <w:top w:w="0" w:type="dxa"/>
            <w:left w:w="108" w:type="dxa"/>
            <w:bottom w:w="0" w:type="dxa"/>
            <w:right w:w="108" w:type="dxa"/>
          </w:tblCellMar>
        </w:tblPrEx>
        <w:trPr>
          <w:trHeight w:val="390" w:hRule="atLeast"/>
        </w:trPr>
        <w:tc>
          <w:tcPr>
            <w:tcW w:w="4551" w:type="dxa"/>
            <w:tcBorders>
              <w:top w:val="nil"/>
              <w:left w:val="single" w:color="auto" w:sz="8" w:space="0"/>
              <w:bottom w:val="single" w:color="auto" w:sz="8" w:space="0"/>
              <w:right w:val="single" w:color="auto" w:sz="8" w:space="0"/>
            </w:tcBorders>
            <w:noWrap w:val="0"/>
            <w:vAlign w:val="center"/>
          </w:tcPr>
          <w:p w14:paraId="7AE6FDCA">
            <w:pPr>
              <w:keepNext w:val="0"/>
              <w:keepLines w:val="0"/>
              <w:pageBreakBefore w:val="0"/>
              <w:widowControl/>
              <w:kinsoku/>
              <w:wordWrap/>
              <w:overflowPunct/>
              <w:topLinePunct w:val="0"/>
              <w:autoSpaceDE/>
              <w:autoSpaceDN/>
              <w:bidi w:val="0"/>
              <w:adjustRightInd/>
              <w:snapToGrid/>
              <w:spacing w:line="324" w:lineRule="auto"/>
              <w:jc w:val="left"/>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邮编：</w:t>
            </w:r>
          </w:p>
        </w:tc>
        <w:tc>
          <w:tcPr>
            <w:tcW w:w="4253" w:type="dxa"/>
            <w:tcBorders>
              <w:top w:val="nil"/>
              <w:left w:val="nil"/>
              <w:bottom w:val="single" w:color="auto" w:sz="8" w:space="0"/>
              <w:right w:val="single" w:color="auto" w:sz="8" w:space="0"/>
            </w:tcBorders>
            <w:noWrap w:val="0"/>
            <w:vAlign w:val="center"/>
          </w:tcPr>
          <w:p w14:paraId="1889A77E">
            <w:pPr>
              <w:keepNext w:val="0"/>
              <w:keepLines w:val="0"/>
              <w:pageBreakBefore w:val="0"/>
              <w:widowControl/>
              <w:kinsoku/>
              <w:wordWrap/>
              <w:overflowPunct/>
              <w:topLinePunct w:val="0"/>
              <w:autoSpaceDE/>
              <w:autoSpaceDN/>
              <w:bidi w:val="0"/>
              <w:adjustRightInd/>
              <w:snapToGrid/>
              <w:spacing w:line="324" w:lineRule="auto"/>
              <w:jc w:val="left"/>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邮编：</w:t>
            </w:r>
          </w:p>
        </w:tc>
      </w:tr>
      <w:tr w14:paraId="1E4BAC98">
        <w:tblPrEx>
          <w:tblCellMar>
            <w:top w:w="0" w:type="dxa"/>
            <w:left w:w="108" w:type="dxa"/>
            <w:bottom w:w="0" w:type="dxa"/>
            <w:right w:w="108" w:type="dxa"/>
          </w:tblCellMar>
        </w:tblPrEx>
        <w:trPr>
          <w:trHeight w:val="576" w:hRule="atLeast"/>
        </w:trPr>
        <w:tc>
          <w:tcPr>
            <w:tcW w:w="4551" w:type="dxa"/>
            <w:vMerge w:val="restart"/>
            <w:tcBorders>
              <w:top w:val="nil"/>
              <w:left w:val="single" w:color="auto" w:sz="8" w:space="0"/>
              <w:bottom w:val="single" w:color="000000" w:sz="8" w:space="0"/>
              <w:right w:val="single" w:color="auto" w:sz="8" w:space="0"/>
            </w:tcBorders>
            <w:noWrap w:val="0"/>
            <w:vAlign w:val="center"/>
          </w:tcPr>
          <w:p w14:paraId="5034DD03">
            <w:pPr>
              <w:keepNext w:val="0"/>
              <w:keepLines w:val="0"/>
              <w:pageBreakBefore w:val="0"/>
              <w:widowControl/>
              <w:kinsoku/>
              <w:wordWrap/>
              <w:overflowPunct/>
              <w:topLinePunct w:val="0"/>
              <w:autoSpaceDE/>
              <w:autoSpaceDN/>
              <w:bidi w:val="0"/>
              <w:adjustRightInd/>
              <w:snapToGrid/>
              <w:spacing w:line="324" w:lineRule="auto"/>
              <w:jc w:val="left"/>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全权代表：（签字）</w:t>
            </w:r>
          </w:p>
        </w:tc>
        <w:tc>
          <w:tcPr>
            <w:tcW w:w="4253" w:type="dxa"/>
            <w:tcBorders>
              <w:top w:val="nil"/>
              <w:left w:val="nil"/>
              <w:bottom w:val="single" w:color="auto" w:sz="8" w:space="0"/>
              <w:right w:val="single" w:color="auto" w:sz="8" w:space="0"/>
            </w:tcBorders>
            <w:noWrap w:val="0"/>
            <w:vAlign w:val="center"/>
          </w:tcPr>
          <w:p w14:paraId="1779F218">
            <w:pPr>
              <w:keepNext w:val="0"/>
              <w:keepLines w:val="0"/>
              <w:pageBreakBefore w:val="0"/>
              <w:widowControl/>
              <w:kinsoku/>
              <w:wordWrap/>
              <w:overflowPunct/>
              <w:topLinePunct w:val="0"/>
              <w:autoSpaceDE/>
              <w:autoSpaceDN/>
              <w:bidi w:val="0"/>
              <w:adjustRightInd/>
              <w:snapToGrid/>
              <w:spacing w:line="324" w:lineRule="auto"/>
              <w:jc w:val="left"/>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法定代表人：</w:t>
            </w:r>
          </w:p>
        </w:tc>
      </w:tr>
      <w:tr w14:paraId="48FCA211">
        <w:tblPrEx>
          <w:tblCellMar>
            <w:top w:w="0" w:type="dxa"/>
            <w:left w:w="108" w:type="dxa"/>
            <w:bottom w:w="0" w:type="dxa"/>
            <w:right w:w="108" w:type="dxa"/>
          </w:tblCellMar>
        </w:tblPrEx>
        <w:trPr>
          <w:trHeight w:val="502" w:hRule="atLeast"/>
        </w:trPr>
        <w:tc>
          <w:tcPr>
            <w:tcW w:w="4551" w:type="dxa"/>
            <w:vMerge w:val="continue"/>
            <w:tcBorders>
              <w:top w:val="nil"/>
              <w:left w:val="single" w:color="auto" w:sz="8" w:space="0"/>
              <w:bottom w:val="single" w:color="000000" w:sz="8" w:space="0"/>
              <w:right w:val="single" w:color="auto" w:sz="8" w:space="0"/>
            </w:tcBorders>
            <w:noWrap w:val="0"/>
            <w:vAlign w:val="center"/>
          </w:tcPr>
          <w:p w14:paraId="32953B82">
            <w:pPr>
              <w:keepNext w:val="0"/>
              <w:keepLines w:val="0"/>
              <w:pageBreakBefore w:val="0"/>
              <w:widowControl/>
              <w:kinsoku/>
              <w:wordWrap/>
              <w:overflowPunct/>
              <w:topLinePunct w:val="0"/>
              <w:autoSpaceDE/>
              <w:autoSpaceDN/>
              <w:bidi w:val="0"/>
              <w:adjustRightInd/>
              <w:snapToGrid/>
              <w:spacing w:line="324" w:lineRule="auto"/>
              <w:jc w:val="left"/>
              <w:textAlignment w:val="auto"/>
              <w:rPr>
                <w:rFonts w:hint="eastAsia" w:ascii="宋体" w:hAnsi="宋体" w:eastAsia="宋体" w:cs="宋体"/>
                <w:color w:val="auto"/>
                <w:kern w:val="0"/>
                <w:sz w:val="21"/>
                <w:szCs w:val="21"/>
                <w:highlight w:val="none"/>
              </w:rPr>
            </w:pPr>
          </w:p>
        </w:tc>
        <w:tc>
          <w:tcPr>
            <w:tcW w:w="4253" w:type="dxa"/>
            <w:tcBorders>
              <w:top w:val="nil"/>
              <w:left w:val="nil"/>
              <w:bottom w:val="single" w:color="auto" w:sz="8" w:space="0"/>
              <w:right w:val="single" w:color="auto" w:sz="8" w:space="0"/>
            </w:tcBorders>
            <w:noWrap w:val="0"/>
            <w:vAlign w:val="center"/>
          </w:tcPr>
          <w:p w14:paraId="6B3292E3">
            <w:pPr>
              <w:keepNext w:val="0"/>
              <w:keepLines w:val="0"/>
              <w:pageBreakBefore w:val="0"/>
              <w:widowControl/>
              <w:kinsoku/>
              <w:wordWrap/>
              <w:overflowPunct/>
              <w:topLinePunct w:val="0"/>
              <w:autoSpaceDE/>
              <w:autoSpaceDN/>
              <w:bidi w:val="0"/>
              <w:adjustRightInd/>
              <w:snapToGrid/>
              <w:spacing w:line="324" w:lineRule="auto"/>
              <w:jc w:val="left"/>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被授权代表：（签字）</w:t>
            </w:r>
          </w:p>
        </w:tc>
      </w:tr>
      <w:tr w14:paraId="508F561A">
        <w:tblPrEx>
          <w:tblCellMar>
            <w:top w:w="0" w:type="dxa"/>
            <w:left w:w="108" w:type="dxa"/>
            <w:bottom w:w="0" w:type="dxa"/>
            <w:right w:w="108" w:type="dxa"/>
          </w:tblCellMar>
        </w:tblPrEx>
        <w:trPr>
          <w:trHeight w:val="390" w:hRule="atLeast"/>
        </w:trPr>
        <w:tc>
          <w:tcPr>
            <w:tcW w:w="4551" w:type="dxa"/>
            <w:tcBorders>
              <w:top w:val="nil"/>
              <w:left w:val="single" w:color="auto" w:sz="8" w:space="0"/>
              <w:bottom w:val="single" w:color="auto" w:sz="8" w:space="0"/>
              <w:right w:val="single" w:color="auto" w:sz="8" w:space="0"/>
            </w:tcBorders>
            <w:noWrap w:val="0"/>
            <w:vAlign w:val="center"/>
          </w:tcPr>
          <w:p w14:paraId="5CEFAC4A">
            <w:pPr>
              <w:keepNext w:val="0"/>
              <w:keepLines w:val="0"/>
              <w:pageBreakBefore w:val="0"/>
              <w:widowControl/>
              <w:kinsoku/>
              <w:wordWrap/>
              <w:overflowPunct/>
              <w:topLinePunct w:val="0"/>
              <w:autoSpaceDE/>
              <w:autoSpaceDN/>
              <w:bidi w:val="0"/>
              <w:adjustRightInd/>
              <w:snapToGrid/>
              <w:spacing w:line="324" w:lineRule="auto"/>
              <w:jc w:val="left"/>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电话：</w:t>
            </w:r>
          </w:p>
        </w:tc>
        <w:tc>
          <w:tcPr>
            <w:tcW w:w="4253" w:type="dxa"/>
            <w:tcBorders>
              <w:top w:val="nil"/>
              <w:left w:val="nil"/>
              <w:bottom w:val="single" w:color="auto" w:sz="8" w:space="0"/>
              <w:right w:val="single" w:color="auto" w:sz="8" w:space="0"/>
            </w:tcBorders>
            <w:noWrap w:val="0"/>
            <w:vAlign w:val="center"/>
          </w:tcPr>
          <w:p w14:paraId="38D73558">
            <w:pPr>
              <w:keepNext w:val="0"/>
              <w:keepLines w:val="0"/>
              <w:pageBreakBefore w:val="0"/>
              <w:widowControl/>
              <w:kinsoku/>
              <w:wordWrap/>
              <w:overflowPunct/>
              <w:topLinePunct w:val="0"/>
              <w:autoSpaceDE/>
              <w:autoSpaceDN/>
              <w:bidi w:val="0"/>
              <w:adjustRightInd/>
              <w:snapToGrid/>
              <w:spacing w:line="324" w:lineRule="auto"/>
              <w:jc w:val="left"/>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电话：</w:t>
            </w:r>
          </w:p>
        </w:tc>
      </w:tr>
      <w:tr w14:paraId="7D0F9C91">
        <w:tblPrEx>
          <w:tblCellMar>
            <w:top w:w="0" w:type="dxa"/>
            <w:left w:w="108" w:type="dxa"/>
            <w:bottom w:w="0" w:type="dxa"/>
            <w:right w:w="108" w:type="dxa"/>
          </w:tblCellMar>
        </w:tblPrEx>
        <w:trPr>
          <w:trHeight w:val="390" w:hRule="atLeast"/>
        </w:trPr>
        <w:tc>
          <w:tcPr>
            <w:tcW w:w="4551" w:type="dxa"/>
            <w:vMerge w:val="restart"/>
            <w:tcBorders>
              <w:top w:val="nil"/>
              <w:left w:val="single" w:color="auto" w:sz="8" w:space="0"/>
              <w:bottom w:val="single" w:color="000000" w:sz="8" w:space="0"/>
              <w:right w:val="single" w:color="auto" w:sz="8" w:space="0"/>
            </w:tcBorders>
            <w:noWrap w:val="0"/>
            <w:vAlign w:val="center"/>
          </w:tcPr>
          <w:p w14:paraId="4F94C70E">
            <w:pPr>
              <w:keepNext w:val="0"/>
              <w:keepLines w:val="0"/>
              <w:pageBreakBefore w:val="0"/>
              <w:widowControl/>
              <w:kinsoku/>
              <w:wordWrap/>
              <w:overflowPunct/>
              <w:topLinePunct w:val="0"/>
              <w:autoSpaceDE/>
              <w:autoSpaceDN/>
              <w:bidi w:val="0"/>
              <w:adjustRightInd/>
              <w:snapToGrid/>
              <w:spacing w:line="324" w:lineRule="auto"/>
              <w:jc w:val="left"/>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传真：</w:t>
            </w:r>
          </w:p>
        </w:tc>
        <w:tc>
          <w:tcPr>
            <w:tcW w:w="4253" w:type="dxa"/>
            <w:tcBorders>
              <w:top w:val="nil"/>
              <w:left w:val="nil"/>
              <w:bottom w:val="single" w:color="auto" w:sz="8" w:space="0"/>
              <w:right w:val="single" w:color="auto" w:sz="8" w:space="0"/>
            </w:tcBorders>
            <w:noWrap w:val="0"/>
            <w:vAlign w:val="center"/>
          </w:tcPr>
          <w:p w14:paraId="0F85472E">
            <w:pPr>
              <w:keepNext w:val="0"/>
              <w:keepLines w:val="0"/>
              <w:pageBreakBefore w:val="0"/>
              <w:widowControl/>
              <w:kinsoku/>
              <w:wordWrap/>
              <w:overflowPunct/>
              <w:topLinePunct w:val="0"/>
              <w:autoSpaceDE/>
              <w:autoSpaceDN/>
              <w:bidi w:val="0"/>
              <w:adjustRightInd/>
              <w:snapToGrid/>
              <w:spacing w:line="324" w:lineRule="auto"/>
              <w:jc w:val="left"/>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传真：</w:t>
            </w:r>
          </w:p>
        </w:tc>
      </w:tr>
      <w:tr w14:paraId="74AFA378">
        <w:tblPrEx>
          <w:tblCellMar>
            <w:top w:w="0" w:type="dxa"/>
            <w:left w:w="108" w:type="dxa"/>
            <w:bottom w:w="0" w:type="dxa"/>
            <w:right w:w="108" w:type="dxa"/>
          </w:tblCellMar>
        </w:tblPrEx>
        <w:trPr>
          <w:trHeight w:val="390" w:hRule="atLeast"/>
        </w:trPr>
        <w:tc>
          <w:tcPr>
            <w:tcW w:w="4551" w:type="dxa"/>
            <w:vMerge w:val="continue"/>
            <w:tcBorders>
              <w:top w:val="nil"/>
              <w:left w:val="single" w:color="auto" w:sz="8" w:space="0"/>
              <w:bottom w:val="single" w:color="000000" w:sz="8" w:space="0"/>
              <w:right w:val="single" w:color="auto" w:sz="8" w:space="0"/>
            </w:tcBorders>
            <w:noWrap w:val="0"/>
            <w:vAlign w:val="center"/>
          </w:tcPr>
          <w:p w14:paraId="134898B3">
            <w:pPr>
              <w:keepNext w:val="0"/>
              <w:keepLines w:val="0"/>
              <w:pageBreakBefore w:val="0"/>
              <w:widowControl/>
              <w:kinsoku/>
              <w:wordWrap/>
              <w:overflowPunct/>
              <w:topLinePunct w:val="0"/>
              <w:autoSpaceDE/>
              <w:autoSpaceDN/>
              <w:bidi w:val="0"/>
              <w:adjustRightInd/>
              <w:snapToGrid/>
              <w:spacing w:line="324" w:lineRule="auto"/>
              <w:jc w:val="left"/>
              <w:textAlignment w:val="auto"/>
              <w:rPr>
                <w:rFonts w:hint="eastAsia" w:ascii="宋体" w:hAnsi="宋体" w:eastAsia="宋体" w:cs="宋体"/>
                <w:color w:val="auto"/>
                <w:kern w:val="0"/>
                <w:sz w:val="21"/>
                <w:szCs w:val="21"/>
                <w:highlight w:val="none"/>
              </w:rPr>
            </w:pPr>
          </w:p>
        </w:tc>
        <w:tc>
          <w:tcPr>
            <w:tcW w:w="4253" w:type="dxa"/>
            <w:tcBorders>
              <w:top w:val="nil"/>
              <w:left w:val="nil"/>
              <w:bottom w:val="single" w:color="auto" w:sz="8" w:space="0"/>
              <w:right w:val="single" w:color="auto" w:sz="8" w:space="0"/>
            </w:tcBorders>
            <w:noWrap w:val="0"/>
            <w:vAlign w:val="center"/>
          </w:tcPr>
          <w:p w14:paraId="02A07A01">
            <w:pPr>
              <w:keepNext w:val="0"/>
              <w:keepLines w:val="0"/>
              <w:pageBreakBefore w:val="0"/>
              <w:widowControl/>
              <w:kinsoku/>
              <w:wordWrap/>
              <w:overflowPunct/>
              <w:topLinePunct w:val="0"/>
              <w:autoSpaceDE/>
              <w:autoSpaceDN/>
              <w:bidi w:val="0"/>
              <w:adjustRightInd/>
              <w:snapToGrid/>
              <w:spacing w:line="324" w:lineRule="auto"/>
              <w:jc w:val="left"/>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开户银行：</w:t>
            </w:r>
          </w:p>
        </w:tc>
      </w:tr>
      <w:tr w14:paraId="272A281B">
        <w:tblPrEx>
          <w:tblCellMar>
            <w:top w:w="0" w:type="dxa"/>
            <w:left w:w="108" w:type="dxa"/>
            <w:bottom w:w="0" w:type="dxa"/>
            <w:right w:w="108" w:type="dxa"/>
          </w:tblCellMar>
        </w:tblPrEx>
        <w:trPr>
          <w:trHeight w:val="390" w:hRule="atLeast"/>
        </w:trPr>
        <w:tc>
          <w:tcPr>
            <w:tcW w:w="4551" w:type="dxa"/>
            <w:vMerge w:val="continue"/>
            <w:tcBorders>
              <w:top w:val="nil"/>
              <w:left w:val="single" w:color="auto" w:sz="8" w:space="0"/>
              <w:bottom w:val="single" w:color="000000" w:sz="8" w:space="0"/>
              <w:right w:val="single" w:color="auto" w:sz="8" w:space="0"/>
            </w:tcBorders>
            <w:noWrap w:val="0"/>
            <w:vAlign w:val="center"/>
          </w:tcPr>
          <w:p w14:paraId="053EFD72">
            <w:pPr>
              <w:keepNext w:val="0"/>
              <w:keepLines w:val="0"/>
              <w:pageBreakBefore w:val="0"/>
              <w:widowControl/>
              <w:kinsoku/>
              <w:wordWrap/>
              <w:overflowPunct/>
              <w:topLinePunct w:val="0"/>
              <w:autoSpaceDE/>
              <w:autoSpaceDN/>
              <w:bidi w:val="0"/>
              <w:adjustRightInd/>
              <w:snapToGrid/>
              <w:spacing w:line="324" w:lineRule="auto"/>
              <w:jc w:val="left"/>
              <w:textAlignment w:val="auto"/>
              <w:rPr>
                <w:rFonts w:hint="eastAsia" w:ascii="宋体" w:hAnsi="宋体" w:eastAsia="宋体" w:cs="宋体"/>
                <w:color w:val="auto"/>
                <w:kern w:val="0"/>
                <w:sz w:val="21"/>
                <w:szCs w:val="21"/>
                <w:highlight w:val="none"/>
              </w:rPr>
            </w:pPr>
          </w:p>
        </w:tc>
        <w:tc>
          <w:tcPr>
            <w:tcW w:w="4253" w:type="dxa"/>
            <w:tcBorders>
              <w:top w:val="nil"/>
              <w:left w:val="nil"/>
              <w:bottom w:val="single" w:color="auto" w:sz="8" w:space="0"/>
              <w:right w:val="single" w:color="auto" w:sz="8" w:space="0"/>
            </w:tcBorders>
            <w:noWrap w:val="0"/>
            <w:vAlign w:val="center"/>
          </w:tcPr>
          <w:p w14:paraId="42BFEDFC">
            <w:pPr>
              <w:keepNext w:val="0"/>
              <w:keepLines w:val="0"/>
              <w:pageBreakBefore w:val="0"/>
              <w:widowControl/>
              <w:kinsoku/>
              <w:wordWrap/>
              <w:overflowPunct/>
              <w:topLinePunct w:val="0"/>
              <w:autoSpaceDE/>
              <w:autoSpaceDN/>
              <w:bidi w:val="0"/>
              <w:adjustRightInd/>
              <w:snapToGrid/>
              <w:spacing w:line="324" w:lineRule="auto"/>
              <w:jc w:val="left"/>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账号:</w:t>
            </w:r>
          </w:p>
        </w:tc>
      </w:tr>
      <w:tr w14:paraId="532E328B">
        <w:tblPrEx>
          <w:tblCellMar>
            <w:top w:w="0" w:type="dxa"/>
            <w:left w:w="108" w:type="dxa"/>
            <w:bottom w:w="0" w:type="dxa"/>
            <w:right w:w="108" w:type="dxa"/>
          </w:tblCellMar>
        </w:tblPrEx>
        <w:trPr>
          <w:trHeight w:val="390" w:hRule="atLeast"/>
        </w:trPr>
        <w:tc>
          <w:tcPr>
            <w:tcW w:w="4551" w:type="dxa"/>
            <w:tcBorders>
              <w:top w:val="nil"/>
              <w:left w:val="single" w:color="auto" w:sz="8" w:space="0"/>
              <w:bottom w:val="single" w:color="auto" w:sz="8" w:space="0"/>
              <w:right w:val="single" w:color="auto" w:sz="8" w:space="0"/>
            </w:tcBorders>
            <w:noWrap w:val="0"/>
            <w:vAlign w:val="center"/>
          </w:tcPr>
          <w:p w14:paraId="79A2F18D">
            <w:pPr>
              <w:keepNext w:val="0"/>
              <w:keepLines w:val="0"/>
              <w:pageBreakBefore w:val="0"/>
              <w:widowControl/>
              <w:kinsoku/>
              <w:wordWrap/>
              <w:overflowPunct/>
              <w:topLinePunct w:val="0"/>
              <w:autoSpaceDE/>
              <w:autoSpaceDN/>
              <w:bidi w:val="0"/>
              <w:adjustRightInd/>
              <w:snapToGrid/>
              <w:spacing w:line="324" w:lineRule="auto"/>
              <w:jc w:val="left"/>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日期：     年   月   日</w:t>
            </w:r>
          </w:p>
        </w:tc>
        <w:tc>
          <w:tcPr>
            <w:tcW w:w="4253" w:type="dxa"/>
            <w:tcBorders>
              <w:top w:val="nil"/>
              <w:left w:val="nil"/>
              <w:bottom w:val="single" w:color="auto" w:sz="8" w:space="0"/>
              <w:right w:val="single" w:color="auto" w:sz="8" w:space="0"/>
            </w:tcBorders>
            <w:noWrap w:val="0"/>
            <w:vAlign w:val="center"/>
          </w:tcPr>
          <w:p w14:paraId="1E08E0B6">
            <w:pPr>
              <w:keepNext w:val="0"/>
              <w:keepLines w:val="0"/>
              <w:pageBreakBefore w:val="0"/>
              <w:widowControl/>
              <w:kinsoku/>
              <w:wordWrap/>
              <w:overflowPunct/>
              <w:topLinePunct w:val="0"/>
              <w:autoSpaceDE/>
              <w:autoSpaceDN/>
              <w:bidi w:val="0"/>
              <w:adjustRightInd/>
              <w:snapToGrid/>
              <w:spacing w:line="324" w:lineRule="auto"/>
              <w:jc w:val="left"/>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日期：     年   月   日</w:t>
            </w:r>
          </w:p>
        </w:tc>
      </w:tr>
    </w:tbl>
    <w:p w14:paraId="49FD3EB8">
      <w:pPr>
        <w:pStyle w:val="2"/>
        <w:keepNext w:val="0"/>
        <w:keepLines w:val="0"/>
        <w:pageBreakBefore w:val="0"/>
        <w:kinsoku/>
        <w:wordWrap/>
        <w:overflowPunct/>
        <w:topLinePunct w:val="0"/>
        <w:autoSpaceDE/>
        <w:autoSpaceDN/>
        <w:bidi w:val="0"/>
        <w:adjustRightInd/>
        <w:snapToGrid/>
        <w:spacing w:line="324" w:lineRule="auto"/>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br w:type="page"/>
      </w:r>
      <w:r>
        <w:rPr>
          <w:rFonts w:hint="eastAsia" w:ascii="宋体" w:hAnsi="宋体" w:eastAsia="宋体" w:cs="宋体"/>
          <w:color w:val="auto"/>
          <w:sz w:val="21"/>
          <w:szCs w:val="21"/>
          <w:highlight w:val="none"/>
        </w:rPr>
        <w:t>一、合同条款</w:t>
      </w:r>
    </w:p>
    <w:p w14:paraId="4B1F4BA8">
      <w:pPr>
        <w:pStyle w:val="2"/>
        <w:keepNext w:val="0"/>
        <w:keepLines w:val="0"/>
        <w:pageBreakBefore w:val="0"/>
        <w:kinsoku/>
        <w:wordWrap/>
        <w:overflowPunct/>
        <w:topLinePunct w:val="0"/>
        <w:autoSpaceDE/>
        <w:autoSpaceDN/>
        <w:bidi w:val="0"/>
        <w:adjustRightInd/>
        <w:snapToGrid/>
        <w:spacing w:line="324" w:lineRule="auto"/>
        <w:ind w:firstLine="420" w:firstLineChars="200"/>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合同条款前附表</w:t>
      </w:r>
    </w:p>
    <w:tbl>
      <w:tblPr>
        <w:tblStyle w:val="3"/>
        <w:tblW w:w="928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8"/>
        <w:gridCol w:w="8558"/>
      </w:tblGrid>
      <w:tr w14:paraId="3042B4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noWrap w:val="0"/>
            <w:vAlign w:val="center"/>
          </w:tcPr>
          <w:p w14:paraId="3DE70E89">
            <w:pPr>
              <w:pStyle w:val="2"/>
              <w:keepNext w:val="0"/>
              <w:keepLines w:val="0"/>
              <w:pageBreakBefore w:val="0"/>
              <w:kinsoku/>
              <w:wordWrap/>
              <w:overflowPunct/>
              <w:topLinePunct w:val="0"/>
              <w:autoSpaceDE/>
              <w:autoSpaceDN/>
              <w:bidi w:val="0"/>
              <w:adjustRightInd/>
              <w:snapToGrid/>
              <w:spacing w:line="324"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序号</w:t>
            </w:r>
          </w:p>
        </w:tc>
        <w:tc>
          <w:tcPr>
            <w:tcW w:w="8558" w:type="dxa"/>
            <w:noWrap w:val="0"/>
            <w:vAlign w:val="center"/>
          </w:tcPr>
          <w:p w14:paraId="0630F628">
            <w:pPr>
              <w:pStyle w:val="2"/>
              <w:keepNext w:val="0"/>
              <w:keepLines w:val="0"/>
              <w:pageBreakBefore w:val="0"/>
              <w:kinsoku/>
              <w:wordWrap/>
              <w:overflowPunct/>
              <w:topLinePunct w:val="0"/>
              <w:autoSpaceDE/>
              <w:autoSpaceDN/>
              <w:bidi w:val="0"/>
              <w:adjustRightInd/>
              <w:snapToGrid/>
              <w:spacing w:line="324"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内容</w:t>
            </w:r>
          </w:p>
        </w:tc>
      </w:tr>
      <w:tr w14:paraId="4DBACD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4" w:hRule="atLeast"/>
          <w:jc w:val="center"/>
        </w:trPr>
        <w:tc>
          <w:tcPr>
            <w:tcW w:w="728" w:type="dxa"/>
            <w:noWrap w:val="0"/>
            <w:vAlign w:val="center"/>
          </w:tcPr>
          <w:p w14:paraId="7E9C4A35">
            <w:pPr>
              <w:pStyle w:val="2"/>
              <w:keepNext w:val="0"/>
              <w:keepLines w:val="0"/>
              <w:pageBreakBefore w:val="0"/>
              <w:kinsoku/>
              <w:wordWrap/>
              <w:overflowPunct/>
              <w:topLinePunct w:val="0"/>
              <w:autoSpaceDE/>
              <w:autoSpaceDN/>
              <w:bidi w:val="0"/>
              <w:adjustRightInd/>
              <w:snapToGrid/>
              <w:spacing w:line="324"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p>
        </w:tc>
        <w:tc>
          <w:tcPr>
            <w:tcW w:w="8558" w:type="dxa"/>
            <w:noWrap w:val="0"/>
            <w:vAlign w:val="center"/>
          </w:tcPr>
          <w:p w14:paraId="18B7E13F">
            <w:pPr>
              <w:pStyle w:val="2"/>
              <w:keepNext w:val="0"/>
              <w:keepLines w:val="0"/>
              <w:pageBreakBefore w:val="0"/>
              <w:kinsoku/>
              <w:wordWrap/>
              <w:overflowPunct/>
              <w:topLinePunct w:val="0"/>
              <w:autoSpaceDE/>
              <w:autoSpaceDN/>
              <w:bidi w:val="0"/>
              <w:adjustRightInd/>
              <w:snapToGrid/>
              <w:spacing w:line="324" w:lineRule="auto"/>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合同名称：</w:t>
            </w:r>
          </w:p>
          <w:p w14:paraId="593C0522">
            <w:pPr>
              <w:pStyle w:val="2"/>
              <w:keepNext w:val="0"/>
              <w:keepLines w:val="0"/>
              <w:pageBreakBefore w:val="0"/>
              <w:kinsoku/>
              <w:wordWrap/>
              <w:overflowPunct/>
              <w:topLinePunct w:val="0"/>
              <w:autoSpaceDE/>
              <w:autoSpaceDN/>
              <w:bidi w:val="0"/>
              <w:adjustRightInd/>
              <w:snapToGrid/>
              <w:spacing w:line="324" w:lineRule="auto"/>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合同编号：</w:t>
            </w:r>
          </w:p>
        </w:tc>
      </w:tr>
      <w:tr w14:paraId="08C2A5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Merge w:val="restart"/>
            <w:noWrap w:val="0"/>
            <w:vAlign w:val="center"/>
          </w:tcPr>
          <w:p w14:paraId="05D857A3">
            <w:pPr>
              <w:pStyle w:val="2"/>
              <w:keepNext w:val="0"/>
              <w:keepLines w:val="0"/>
              <w:pageBreakBefore w:val="0"/>
              <w:kinsoku/>
              <w:wordWrap/>
              <w:overflowPunct/>
              <w:topLinePunct w:val="0"/>
              <w:autoSpaceDE/>
              <w:autoSpaceDN/>
              <w:bidi w:val="0"/>
              <w:adjustRightInd/>
              <w:snapToGrid/>
              <w:spacing w:line="324"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w:t>
            </w:r>
          </w:p>
        </w:tc>
        <w:tc>
          <w:tcPr>
            <w:tcW w:w="8558" w:type="dxa"/>
            <w:noWrap w:val="0"/>
            <w:vAlign w:val="center"/>
          </w:tcPr>
          <w:p w14:paraId="34568472">
            <w:pPr>
              <w:pStyle w:val="2"/>
              <w:keepNext w:val="0"/>
              <w:keepLines w:val="0"/>
              <w:pageBreakBefore w:val="0"/>
              <w:kinsoku/>
              <w:wordWrap/>
              <w:overflowPunct/>
              <w:topLinePunct w:val="0"/>
              <w:autoSpaceDE/>
              <w:autoSpaceDN/>
              <w:bidi w:val="0"/>
              <w:adjustRightInd/>
              <w:snapToGrid/>
              <w:spacing w:line="324" w:lineRule="auto"/>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甲方名称：</w:t>
            </w:r>
          </w:p>
        </w:tc>
      </w:tr>
      <w:tr w14:paraId="308EF1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Merge w:val="continue"/>
            <w:noWrap w:val="0"/>
            <w:vAlign w:val="center"/>
          </w:tcPr>
          <w:p w14:paraId="139B0677">
            <w:pPr>
              <w:pStyle w:val="2"/>
              <w:keepNext w:val="0"/>
              <w:keepLines w:val="0"/>
              <w:pageBreakBefore w:val="0"/>
              <w:kinsoku/>
              <w:wordWrap/>
              <w:overflowPunct/>
              <w:topLinePunct w:val="0"/>
              <w:autoSpaceDE/>
              <w:autoSpaceDN/>
              <w:bidi w:val="0"/>
              <w:adjustRightInd/>
              <w:snapToGrid/>
              <w:spacing w:line="324" w:lineRule="auto"/>
              <w:jc w:val="center"/>
              <w:textAlignment w:val="auto"/>
              <w:rPr>
                <w:rFonts w:hint="eastAsia" w:ascii="宋体" w:hAnsi="宋体" w:eastAsia="宋体" w:cs="宋体"/>
                <w:color w:val="auto"/>
                <w:sz w:val="21"/>
                <w:szCs w:val="21"/>
                <w:highlight w:val="none"/>
              </w:rPr>
            </w:pPr>
          </w:p>
        </w:tc>
        <w:tc>
          <w:tcPr>
            <w:tcW w:w="8558" w:type="dxa"/>
            <w:noWrap w:val="0"/>
            <w:vAlign w:val="center"/>
          </w:tcPr>
          <w:p w14:paraId="15775BA2">
            <w:pPr>
              <w:pStyle w:val="2"/>
              <w:keepNext w:val="0"/>
              <w:keepLines w:val="0"/>
              <w:pageBreakBefore w:val="0"/>
              <w:kinsoku/>
              <w:wordWrap/>
              <w:overflowPunct/>
              <w:topLinePunct w:val="0"/>
              <w:autoSpaceDE/>
              <w:autoSpaceDN/>
              <w:bidi w:val="0"/>
              <w:adjustRightInd/>
              <w:snapToGrid/>
              <w:spacing w:line="324" w:lineRule="auto"/>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甲方地址：</w:t>
            </w:r>
          </w:p>
        </w:tc>
      </w:tr>
      <w:tr w14:paraId="4292ED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Merge w:val="continue"/>
            <w:noWrap w:val="0"/>
            <w:vAlign w:val="center"/>
          </w:tcPr>
          <w:p w14:paraId="5150440D">
            <w:pPr>
              <w:pStyle w:val="2"/>
              <w:keepNext w:val="0"/>
              <w:keepLines w:val="0"/>
              <w:pageBreakBefore w:val="0"/>
              <w:kinsoku/>
              <w:wordWrap/>
              <w:overflowPunct/>
              <w:topLinePunct w:val="0"/>
              <w:autoSpaceDE/>
              <w:autoSpaceDN/>
              <w:bidi w:val="0"/>
              <w:adjustRightInd/>
              <w:snapToGrid/>
              <w:spacing w:line="324" w:lineRule="auto"/>
              <w:jc w:val="center"/>
              <w:textAlignment w:val="auto"/>
              <w:rPr>
                <w:rFonts w:hint="eastAsia" w:ascii="宋体" w:hAnsi="宋体" w:eastAsia="宋体" w:cs="宋体"/>
                <w:color w:val="auto"/>
                <w:sz w:val="21"/>
                <w:szCs w:val="21"/>
                <w:highlight w:val="none"/>
              </w:rPr>
            </w:pPr>
          </w:p>
        </w:tc>
        <w:tc>
          <w:tcPr>
            <w:tcW w:w="8558" w:type="dxa"/>
            <w:noWrap w:val="0"/>
            <w:vAlign w:val="center"/>
          </w:tcPr>
          <w:p w14:paraId="53B8C24A">
            <w:pPr>
              <w:pStyle w:val="2"/>
              <w:keepNext w:val="0"/>
              <w:keepLines w:val="0"/>
              <w:pageBreakBefore w:val="0"/>
              <w:kinsoku/>
              <w:wordWrap/>
              <w:overflowPunct/>
              <w:topLinePunct w:val="0"/>
              <w:autoSpaceDE/>
              <w:autoSpaceDN/>
              <w:bidi w:val="0"/>
              <w:adjustRightInd/>
              <w:snapToGrid/>
              <w:spacing w:line="324" w:lineRule="auto"/>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甲方联系人：　　　　电话：</w:t>
            </w:r>
          </w:p>
        </w:tc>
      </w:tr>
      <w:tr w14:paraId="4D18F1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Merge w:val="restart"/>
            <w:noWrap w:val="0"/>
            <w:vAlign w:val="center"/>
          </w:tcPr>
          <w:p w14:paraId="3F82AF9C">
            <w:pPr>
              <w:pStyle w:val="2"/>
              <w:keepNext w:val="0"/>
              <w:keepLines w:val="0"/>
              <w:pageBreakBefore w:val="0"/>
              <w:kinsoku/>
              <w:wordWrap/>
              <w:overflowPunct/>
              <w:topLinePunct w:val="0"/>
              <w:autoSpaceDE/>
              <w:autoSpaceDN/>
              <w:bidi w:val="0"/>
              <w:adjustRightInd/>
              <w:snapToGrid/>
              <w:spacing w:line="324"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w:t>
            </w:r>
          </w:p>
        </w:tc>
        <w:tc>
          <w:tcPr>
            <w:tcW w:w="8558" w:type="dxa"/>
            <w:noWrap w:val="0"/>
            <w:vAlign w:val="center"/>
          </w:tcPr>
          <w:p w14:paraId="704628FE">
            <w:pPr>
              <w:pStyle w:val="2"/>
              <w:keepNext w:val="0"/>
              <w:keepLines w:val="0"/>
              <w:pageBreakBefore w:val="0"/>
              <w:kinsoku/>
              <w:wordWrap/>
              <w:overflowPunct/>
              <w:topLinePunct w:val="0"/>
              <w:autoSpaceDE/>
              <w:autoSpaceDN/>
              <w:bidi w:val="0"/>
              <w:adjustRightInd/>
              <w:snapToGrid/>
              <w:spacing w:line="324" w:lineRule="auto"/>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乙方名称：</w:t>
            </w:r>
          </w:p>
        </w:tc>
      </w:tr>
      <w:tr w14:paraId="27B06D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Merge w:val="continue"/>
            <w:noWrap w:val="0"/>
            <w:vAlign w:val="center"/>
          </w:tcPr>
          <w:p w14:paraId="05E52AAB">
            <w:pPr>
              <w:pStyle w:val="2"/>
              <w:keepNext w:val="0"/>
              <w:keepLines w:val="0"/>
              <w:pageBreakBefore w:val="0"/>
              <w:kinsoku/>
              <w:wordWrap/>
              <w:overflowPunct/>
              <w:topLinePunct w:val="0"/>
              <w:autoSpaceDE/>
              <w:autoSpaceDN/>
              <w:bidi w:val="0"/>
              <w:adjustRightInd/>
              <w:snapToGrid/>
              <w:spacing w:line="324" w:lineRule="auto"/>
              <w:jc w:val="center"/>
              <w:textAlignment w:val="auto"/>
              <w:rPr>
                <w:rFonts w:hint="eastAsia" w:ascii="宋体" w:hAnsi="宋体" w:eastAsia="宋体" w:cs="宋体"/>
                <w:color w:val="auto"/>
                <w:sz w:val="21"/>
                <w:szCs w:val="21"/>
                <w:highlight w:val="none"/>
              </w:rPr>
            </w:pPr>
          </w:p>
        </w:tc>
        <w:tc>
          <w:tcPr>
            <w:tcW w:w="8558" w:type="dxa"/>
            <w:noWrap w:val="0"/>
            <w:vAlign w:val="center"/>
          </w:tcPr>
          <w:p w14:paraId="0268E5D0">
            <w:pPr>
              <w:pStyle w:val="2"/>
              <w:keepNext w:val="0"/>
              <w:keepLines w:val="0"/>
              <w:pageBreakBefore w:val="0"/>
              <w:kinsoku/>
              <w:wordWrap/>
              <w:overflowPunct/>
              <w:topLinePunct w:val="0"/>
              <w:autoSpaceDE/>
              <w:autoSpaceDN/>
              <w:bidi w:val="0"/>
              <w:adjustRightInd/>
              <w:snapToGrid/>
              <w:spacing w:line="324" w:lineRule="auto"/>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乙方地址：</w:t>
            </w:r>
          </w:p>
        </w:tc>
      </w:tr>
      <w:tr w14:paraId="7163D3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Merge w:val="continue"/>
            <w:noWrap w:val="0"/>
            <w:vAlign w:val="center"/>
          </w:tcPr>
          <w:p w14:paraId="04DBB96F">
            <w:pPr>
              <w:pStyle w:val="2"/>
              <w:keepNext w:val="0"/>
              <w:keepLines w:val="0"/>
              <w:pageBreakBefore w:val="0"/>
              <w:kinsoku/>
              <w:wordWrap/>
              <w:overflowPunct/>
              <w:topLinePunct w:val="0"/>
              <w:autoSpaceDE/>
              <w:autoSpaceDN/>
              <w:bidi w:val="0"/>
              <w:adjustRightInd/>
              <w:snapToGrid/>
              <w:spacing w:line="324" w:lineRule="auto"/>
              <w:jc w:val="center"/>
              <w:textAlignment w:val="auto"/>
              <w:rPr>
                <w:rFonts w:hint="eastAsia" w:ascii="宋体" w:hAnsi="宋体" w:eastAsia="宋体" w:cs="宋体"/>
                <w:color w:val="auto"/>
                <w:sz w:val="21"/>
                <w:szCs w:val="21"/>
                <w:highlight w:val="none"/>
              </w:rPr>
            </w:pPr>
          </w:p>
        </w:tc>
        <w:tc>
          <w:tcPr>
            <w:tcW w:w="8558" w:type="dxa"/>
            <w:noWrap w:val="0"/>
            <w:vAlign w:val="center"/>
          </w:tcPr>
          <w:p w14:paraId="687BF83D">
            <w:pPr>
              <w:pStyle w:val="2"/>
              <w:keepNext w:val="0"/>
              <w:keepLines w:val="0"/>
              <w:pageBreakBefore w:val="0"/>
              <w:kinsoku/>
              <w:wordWrap/>
              <w:overflowPunct/>
              <w:topLinePunct w:val="0"/>
              <w:autoSpaceDE/>
              <w:autoSpaceDN/>
              <w:bidi w:val="0"/>
              <w:adjustRightInd/>
              <w:snapToGrid/>
              <w:spacing w:line="324" w:lineRule="auto"/>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乙方联系人：　　　　电话：</w:t>
            </w:r>
          </w:p>
        </w:tc>
      </w:tr>
      <w:tr w14:paraId="68553E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Merge w:val="continue"/>
            <w:noWrap w:val="0"/>
            <w:vAlign w:val="center"/>
          </w:tcPr>
          <w:p w14:paraId="7B4F4A65">
            <w:pPr>
              <w:pStyle w:val="2"/>
              <w:keepNext w:val="0"/>
              <w:keepLines w:val="0"/>
              <w:pageBreakBefore w:val="0"/>
              <w:kinsoku/>
              <w:wordWrap/>
              <w:overflowPunct/>
              <w:topLinePunct w:val="0"/>
              <w:autoSpaceDE/>
              <w:autoSpaceDN/>
              <w:bidi w:val="0"/>
              <w:adjustRightInd/>
              <w:snapToGrid/>
              <w:spacing w:line="324" w:lineRule="auto"/>
              <w:jc w:val="center"/>
              <w:textAlignment w:val="auto"/>
              <w:rPr>
                <w:rFonts w:hint="eastAsia" w:ascii="宋体" w:hAnsi="宋体" w:eastAsia="宋体" w:cs="宋体"/>
                <w:color w:val="auto"/>
                <w:sz w:val="21"/>
                <w:szCs w:val="21"/>
                <w:highlight w:val="none"/>
              </w:rPr>
            </w:pPr>
          </w:p>
        </w:tc>
        <w:tc>
          <w:tcPr>
            <w:tcW w:w="8558" w:type="dxa"/>
            <w:noWrap w:val="0"/>
            <w:vAlign w:val="center"/>
          </w:tcPr>
          <w:p w14:paraId="39401209">
            <w:pPr>
              <w:pStyle w:val="2"/>
              <w:keepNext w:val="0"/>
              <w:keepLines w:val="0"/>
              <w:pageBreakBefore w:val="0"/>
              <w:kinsoku/>
              <w:wordWrap/>
              <w:overflowPunct/>
              <w:topLinePunct w:val="0"/>
              <w:autoSpaceDE/>
              <w:autoSpaceDN/>
              <w:bidi w:val="0"/>
              <w:adjustRightInd/>
              <w:snapToGrid/>
              <w:spacing w:line="324" w:lineRule="auto"/>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乙方开户银行名称：</w:t>
            </w:r>
          </w:p>
          <w:p w14:paraId="675B26D4">
            <w:pPr>
              <w:pStyle w:val="2"/>
              <w:keepNext w:val="0"/>
              <w:keepLines w:val="0"/>
              <w:pageBreakBefore w:val="0"/>
              <w:kinsoku/>
              <w:wordWrap/>
              <w:overflowPunct/>
              <w:topLinePunct w:val="0"/>
              <w:autoSpaceDE/>
              <w:autoSpaceDN/>
              <w:bidi w:val="0"/>
              <w:adjustRightInd/>
              <w:snapToGrid/>
              <w:spacing w:line="324" w:lineRule="auto"/>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账号：</w:t>
            </w:r>
          </w:p>
        </w:tc>
      </w:tr>
      <w:tr w14:paraId="77585B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noWrap w:val="0"/>
            <w:vAlign w:val="center"/>
          </w:tcPr>
          <w:p w14:paraId="4F2EFD0B">
            <w:pPr>
              <w:pStyle w:val="2"/>
              <w:keepNext w:val="0"/>
              <w:keepLines w:val="0"/>
              <w:pageBreakBefore w:val="0"/>
              <w:kinsoku/>
              <w:wordWrap/>
              <w:overflowPunct/>
              <w:topLinePunct w:val="0"/>
              <w:autoSpaceDE/>
              <w:autoSpaceDN/>
              <w:bidi w:val="0"/>
              <w:adjustRightInd/>
              <w:snapToGrid/>
              <w:spacing w:line="324" w:lineRule="auto"/>
              <w:jc w:val="center"/>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val="en-US" w:eastAsia="zh-CN"/>
              </w:rPr>
              <w:t>4</w:t>
            </w:r>
          </w:p>
        </w:tc>
        <w:tc>
          <w:tcPr>
            <w:tcW w:w="8558" w:type="dxa"/>
            <w:noWrap w:val="0"/>
            <w:vAlign w:val="center"/>
          </w:tcPr>
          <w:p w14:paraId="5097C2FC">
            <w:pPr>
              <w:pStyle w:val="2"/>
              <w:keepNext w:val="0"/>
              <w:keepLines w:val="0"/>
              <w:pageBreakBefore w:val="0"/>
              <w:kinsoku/>
              <w:wordWrap/>
              <w:overflowPunct/>
              <w:topLinePunct w:val="0"/>
              <w:autoSpaceDE/>
              <w:autoSpaceDN/>
              <w:bidi w:val="0"/>
              <w:adjustRightInd/>
              <w:snapToGrid/>
              <w:spacing w:line="324" w:lineRule="auto"/>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合同金额：</w:t>
            </w:r>
          </w:p>
        </w:tc>
      </w:tr>
      <w:tr w14:paraId="35809E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noWrap w:val="0"/>
            <w:vAlign w:val="center"/>
          </w:tcPr>
          <w:p w14:paraId="149387FA">
            <w:pPr>
              <w:pStyle w:val="2"/>
              <w:keepNext w:val="0"/>
              <w:keepLines w:val="0"/>
              <w:pageBreakBefore w:val="0"/>
              <w:kinsoku/>
              <w:wordWrap/>
              <w:overflowPunct/>
              <w:topLinePunct w:val="0"/>
              <w:autoSpaceDE/>
              <w:autoSpaceDN/>
              <w:bidi w:val="0"/>
              <w:adjustRightInd/>
              <w:snapToGrid/>
              <w:spacing w:line="324" w:lineRule="auto"/>
              <w:jc w:val="center"/>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val="en-US" w:eastAsia="zh-CN"/>
              </w:rPr>
              <w:t>5</w:t>
            </w:r>
          </w:p>
        </w:tc>
        <w:tc>
          <w:tcPr>
            <w:tcW w:w="8558" w:type="dxa"/>
            <w:noWrap w:val="0"/>
            <w:vAlign w:val="center"/>
          </w:tcPr>
          <w:p w14:paraId="5F29EEFB">
            <w:pPr>
              <w:pStyle w:val="2"/>
              <w:keepNext w:val="0"/>
              <w:keepLines w:val="0"/>
              <w:pageBreakBefore w:val="0"/>
              <w:kinsoku/>
              <w:wordWrap/>
              <w:overflowPunct/>
              <w:topLinePunct w:val="0"/>
              <w:autoSpaceDE/>
              <w:autoSpaceDN/>
              <w:bidi w:val="0"/>
              <w:adjustRightInd/>
              <w:snapToGrid/>
              <w:spacing w:line="324" w:lineRule="auto"/>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服务时间、地点：</w:t>
            </w:r>
          </w:p>
        </w:tc>
      </w:tr>
      <w:tr w14:paraId="519919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noWrap w:val="0"/>
            <w:vAlign w:val="center"/>
          </w:tcPr>
          <w:p w14:paraId="601149D0">
            <w:pPr>
              <w:pStyle w:val="2"/>
              <w:keepNext w:val="0"/>
              <w:keepLines w:val="0"/>
              <w:pageBreakBefore w:val="0"/>
              <w:kinsoku/>
              <w:wordWrap/>
              <w:overflowPunct/>
              <w:topLinePunct w:val="0"/>
              <w:autoSpaceDE/>
              <w:autoSpaceDN/>
              <w:bidi w:val="0"/>
              <w:adjustRightInd/>
              <w:snapToGrid/>
              <w:spacing w:line="324" w:lineRule="auto"/>
              <w:jc w:val="center"/>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val="en-US" w:eastAsia="zh-CN"/>
              </w:rPr>
              <w:t>6</w:t>
            </w:r>
          </w:p>
        </w:tc>
        <w:tc>
          <w:tcPr>
            <w:tcW w:w="8558" w:type="dxa"/>
            <w:noWrap w:val="0"/>
            <w:vAlign w:val="center"/>
          </w:tcPr>
          <w:p w14:paraId="49FC3E19">
            <w:pPr>
              <w:pStyle w:val="2"/>
              <w:keepNext w:val="0"/>
              <w:keepLines w:val="0"/>
              <w:pageBreakBefore w:val="0"/>
              <w:kinsoku/>
              <w:wordWrap/>
              <w:overflowPunct/>
              <w:topLinePunct w:val="0"/>
              <w:autoSpaceDE/>
              <w:autoSpaceDN/>
              <w:bidi w:val="0"/>
              <w:adjustRightInd/>
              <w:snapToGrid/>
              <w:spacing w:line="324" w:lineRule="auto"/>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服务履行期：</w:t>
            </w:r>
          </w:p>
        </w:tc>
      </w:tr>
      <w:tr w14:paraId="592D0A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noWrap w:val="0"/>
            <w:vAlign w:val="center"/>
          </w:tcPr>
          <w:p w14:paraId="455126FB">
            <w:pPr>
              <w:pStyle w:val="2"/>
              <w:keepNext w:val="0"/>
              <w:keepLines w:val="0"/>
              <w:pageBreakBefore w:val="0"/>
              <w:kinsoku/>
              <w:wordWrap/>
              <w:overflowPunct/>
              <w:topLinePunct w:val="0"/>
              <w:autoSpaceDE/>
              <w:autoSpaceDN/>
              <w:bidi w:val="0"/>
              <w:adjustRightInd/>
              <w:snapToGrid/>
              <w:spacing w:line="324" w:lineRule="auto"/>
              <w:jc w:val="center"/>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val="en-US" w:eastAsia="zh-CN"/>
              </w:rPr>
              <w:t>7</w:t>
            </w:r>
          </w:p>
        </w:tc>
        <w:tc>
          <w:tcPr>
            <w:tcW w:w="8558" w:type="dxa"/>
            <w:noWrap w:val="0"/>
            <w:vAlign w:val="center"/>
          </w:tcPr>
          <w:p w14:paraId="042AA950">
            <w:pPr>
              <w:pStyle w:val="2"/>
              <w:keepNext w:val="0"/>
              <w:keepLines w:val="0"/>
              <w:pageBreakBefore w:val="0"/>
              <w:kinsoku/>
              <w:wordWrap/>
              <w:overflowPunct/>
              <w:topLinePunct w:val="0"/>
              <w:autoSpaceDE/>
              <w:autoSpaceDN/>
              <w:bidi w:val="0"/>
              <w:adjustRightInd/>
              <w:snapToGrid/>
              <w:spacing w:line="324" w:lineRule="auto"/>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验收方式及标准：</w:t>
            </w:r>
          </w:p>
        </w:tc>
      </w:tr>
      <w:tr w14:paraId="25BDBD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noWrap w:val="0"/>
            <w:vAlign w:val="center"/>
          </w:tcPr>
          <w:p w14:paraId="7413E455">
            <w:pPr>
              <w:pStyle w:val="2"/>
              <w:keepNext w:val="0"/>
              <w:keepLines w:val="0"/>
              <w:pageBreakBefore w:val="0"/>
              <w:kinsoku/>
              <w:wordWrap/>
              <w:overflowPunct/>
              <w:topLinePunct w:val="0"/>
              <w:autoSpaceDE/>
              <w:autoSpaceDN/>
              <w:bidi w:val="0"/>
              <w:adjustRightInd/>
              <w:snapToGrid/>
              <w:spacing w:line="324" w:lineRule="auto"/>
              <w:jc w:val="center"/>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val="en-US" w:eastAsia="zh-CN"/>
              </w:rPr>
              <w:t>8</w:t>
            </w:r>
          </w:p>
        </w:tc>
        <w:tc>
          <w:tcPr>
            <w:tcW w:w="8558" w:type="dxa"/>
            <w:noWrap w:val="0"/>
            <w:vAlign w:val="center"/>
          </w:tcPr>
          <w:p w14:paraId="51C9E0B3">
            <w:pPr>
              <w:pStyle w:val="2"/>
              <w:keepNext w:val="0"/>
              <w:keepLines w:val="0"/>
              <w:pageBreakBefore w:val="0"/>
              <w:kinsoku/>
              <w:wordWrap/>
              <w:overflowPunct/>
              <w:topLinePunct w:val="0"/>
              <w:autoSpaceDE/>
              <w:autoSpaceDN/>
              <w:bidi w:val="0"/>
              <w:adjustRightInd/>
              <w:snapToGrid/>
              <w:spacing w:line="324" w:lineRule="auto"/>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付款方式：</w:t>
            </w:r>
          </w:p>
        </w:tc>
      </w:tr>
      <w:tr w14:paraId="703EDA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noWrap w:val="0"/>
            <w:vAlign w:val="center"/>
          </w:tcPr>
          <w:p w14:paraId="60E705E8">
            <w:pPr>
              <w:pStyle w:val="2"/>
              <w:keepNext w:val="0"/>
              <w:keepLines w:val="0"/>
              <w:pageBreakBefore w:val="0"/>
              <w:kinsoku/>
              <w:wordWrap/>
              <w:overflowPunct/>
              <w:topLinePunct w:val="0"/>
              <w:autoSpaceDE/>
              <w:autoSpaceDN/>
              <w:bidi w:val="0"/>
              <w:adjustRightInd/>
              <w:snapToGrid/>
              <w:spacing w:line="324" w:lineRule="auto"/>
              <w:jc w:val="center"/>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val="en-US" w:eastAsia="zh-CN"/>
              </w:rPr>
              <w:t>9</w:t>
            </w:r>
          </w:p>
        </w:tc>
        <w:tc>
          <w:tcPr>
            <w:tcW w:w="8558" w:type="dxa"/>
            <w:noWrap w:val="0"/>
            <w:vAlign w:val="center"/>
          </w:tcPr>
          <w:p w14:paraId="149F799F">
            <w:pPr>
              <w:pStyle w:val="2"/>
              <w:keepNext w:val="0"/>
              <w:keepLines w:val="0"/>
              <w:pageBreakBefore w:val="0"/>
              <w:kinsoku/>
              <w:wordWrap/>
              <w:overflowPunct/>
              <w:topLinePunct w:val="0"/>
              <w:autoSpaceDE/>
              <w:autoSpaceDN/>
              <w:bidi w:val="0"/>
              <w:adjustRightInd/>
              <w:snapToGrid/>
              <w:spacing w:line="324" w:lineRule="auto"/>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履约保证金及其返还：</w:t>
            </w:r>
            <w:r>
              <w:rPr>
                <w:rFonts w:hint="eastAsia" w:ascii="宋体" w:hAnsi="宋体" w:eastAsia="宋体" w:cs="宋体"/>
                <w:color w:val="auto"/>
                <w:sz w:val="21"/>
                <w:szCs w:val="21"/>
                <w:highlight w:val="none"/>
                <w:lang w:val="en-US" w:eastAsia="zh-CN"/>
              </w:rPr>
              <w:t>本项目不涉及</w:t>
            </w:r>
          </w:p>
        </w:tc>
      </w:tr>
      <w:tr w14:paraId="54E742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4" w:hRule="atLeast"/>
          <w:jc w:val="center"/>
        </w:trPr>
        <w:tc>
          <w:tcPr>
            <w:tcW w:w="728" w:type="dxa"/>
            <w:noWrap w:val="0"/>
            <w:vAlign w:val="center"/>
          </w:tcPr>
          <w:p w14:paraId="640EEA80">
            <w:pPr>
              <w:pStyle w:val="2"/>
              <w:keepNext w:val="0"/>
              <w:keepLines w:val="0"/>
              <w:pageBreakBefore w:val="0"/>
              <w:kinsoku/>
              <w:wordWrap/>
              <w:overflowPunct/>
              <w:topLinePunct w:val="0"/>
              <w:autoSpaceDE/>
              <w:autoSpaceDN/>
              <w:bidi w:val="0"/>
              <w:adjustRightInd/>
              <w:snapToGrid/>
              <w:spacing w:line="324" w:lineRule="auto"/>
              <w:jc w:val="center"/>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1</w:t>
            </w:r>
            <w:r>
              <w:rPr>
                <w:rFonts w:hint="eastAsia" w:ascii="宋体" w:hAnsi="宋体" w:eastAsia="宋体" w:cs="宋体"/>
                <w:color w:val="auto"/>
                <w:sz w:val="21"/>
                <w:szCs w:val="21"/>
                <w:highlight w:val="none"/>
                <w:lang w:val="en-US" w:eastAsia="zh-CN"/>
              </w:rPr>
              <w:t>0</w:t>
            </w:r>
          </w:p>
        </w:tc>
        <w:tc>
          <w:tcPr>
            <w:tcW w:w="8558" w:type="dxa"/>
            <w:noWrap w:val="0"/>
            <w:vAlign w:val="center"/>
          </w:tcPr>
          <w:p w14:paraId="22EF918C">
            <w:pPr>
              <w:pStyle w:val="2"/>
              <w:keepNext w:val="0"/>
              <w:keepLines w:val="0"/>
              <w:pageBreakBefore w:val="0"/>
              <w:kinsoku/>
              <w:wordWrap/>
              <w:overflowPunct/>
              <w:topLinePunct w:val="0"/>
              <w:autoSpaceDE/>
              <w:autoSpaceDN/>
              <w:bidi w:val="0"/>
              <w:adjustRightInd/>
              <w:snapToGrid/>
              <w:spacing w:line="324" w:lineRule="auto"/>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□违约金约定：</w:t>
            </w:r>
          </w:p>
          <w:p w14:paraId="0397C3B5">
            <w:pPr>
              <w:pStyle w:val="2"/>
              <w:keepNext w:val="0"/>
              <w:keepLines w:val="0"/>
              <w:pageBreakBefore w:val="0"/>
              <w:kinsoku/>
              <w:wordWrap/>
              <w:overflowPunct/>
              <w:topLinePunct w:val="0"/>
              <w:autoSpaceDE/>
              <w:autoSpaceDN/>
              <w:bidi w:val="0"/>
              <w:adjustRightInd/>
              <w:snapToGrid/>
              <w:spacing w:line="324" w:lineRule="auto"/>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□损失赔偿约定：</w:t>
            </w:r>
          </w:p>
        </w:tc>
      </w:tr>
      <w:tr w14:paraId="0BCAF2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noWrap w:val="0"/>
            <w:vAlign w:val="center"/>
          </w:tcPr>
          <w:p w14:paraId="24EA8892">
            <w:pPr>
              <w:pStyle w:val="2"/>
              <w:keepNext w:val="0"/>
              <w:keepLines w:val="0"/>
              <w:pageBreakBefore w:val="0"/>
              <w:kinsoku/>
              <w:wordWrap/>
              <w:overflowPunct/>
              <w:topLinePunct w:val="0"/>
              <w:autoSpaceDE/>
              <w:autoSpaceDN/>
              <w:bidi w:val="0"/>
              <w:adjustRightInd/>
              <w:snapToGrid/>
              <w:spacing w:line="324" w:lineRule="auto"/>
              <w:jc w:val="center"/>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1</w:t>
            </w:r>
            <w:r>
              <w:rPr>
                <w:rFonts w:hint="eastAsia" w:ascii="宋体" w:hAnsi="宋体" w:eastAsia="宋体" w:cs="宋体"/>
                <w:color w:val="auto"/>
                <w:sz w:val="21"/>
                <w:szCs w:val="21"/>
                <w:highlight w:val="none"/>
                <w:lang w:val="en-US" w:eastAsia="zh-CN"/>
              </w:rPr>
              <w:t>1</w:t>
            </w:r>
          </w:p>
        </w:tc>
        <w:tc>
          <w:tcPr>
            <w:tcW w:w="8558" w:type="dxa"/>
            <w:noWrap w:val="0"/>
            <w:vAlign w:val="center"/>
          </w:tcPr>
          <w:p w14:paraId="66DECB4B">
            <w:pPr>
              <w:pStyle w:val="2"/>
              <w:keepNext w:val="0"/>
              <w:keepLines w:val="0"/>
              <w:pageBreakBefore w:val="0"/>
              <w:kinsoku/>
              <w:wordWrap/>
              <w:overflowPunct/>
              <w:topLinePunct w:val="0"/>
              <w:autoSpaceDE/>
              <w:autoSpaceDN/>
              <w:bidi w:val="0"/>
              <w:adjustRightInd/>
              <w:snapToGrid/>
              <w:spacing w:line="324" w:lineRule="auto"/>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误期赔偿费约定：如果乙方没有按照合同规定的时间提供服务，甲方有权从</w:t>
            </w:r>
            <w:r>
              <w:rPr>
                <w:rFonts w:hint="eastAsia" w:hAnsi="宋体" w:eastAsia="宋体" w:cs="宋体"/>
                <w:color w:val="auto"/>
                <w:sz w:val="21"/>
                <w:szCs w:val="21"/>
                <w:highlight w:val="none"/>
                <w:lang w:val="en-US" w:eastAsia="zh-CN"/>
              </w:rPr>
              <w:t>合同</w:t>
            </w:r>
            <w:r>
              <w:rPr>
                <w:rFonts w:hint="eastAsia" w:ascii="宋体" w:hAnsi="宋体" w:eastAsia="宋体" w:cs="宋体"/>
                <w:color w:val="auto"/>
                <w:sz w:val="21"/>
                <w:szCs w:val="21"/>
                <w:highlight w:val="none"/>
              </w:rPr>
              <w:t>款中扣除误期赔偿费而不影响合同项下的其他补救方法。赔偿费按每日加收合同金额的0.5%(各单位可根据实际情况重新设定)计收，直至提供服务为止。但误期赔偿费的最高限额不超过合同价的15%(各单位可根据实际情况重新设定)。</w:t>
            </w:r>
          </w:p>
        </w:tc>
      </w:tr>
      <w:tr w14:paraId="243017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noWrap w:val="0"/>
            <w:vAlign w:val="center"/>
          </w:tcPr>
          <w:p w14:paraId="51BCE552">
            <w:pPr>
              <w:pStyle w:val="2"/>
              <w:keepNext w:val="0"/>
              <w:keepLines w:val="0"/>
              <w:pageBreakBefore w:val="0"/>
              <w:kinsoku/>
              <w:wordWrap/>
              <w:overflowPunct/>
              <w:topLinePunct w:val="0"/>
              <w:autoSpaceDE/>
              <w:autoSpaceDN/>
              <w:bidi w:val="0"/>
              <w:adjustRightInd/>
              <w:snapToGrid/>
              <w:spacing w:line="324" w:lineRule="auto"/>
              <w:jc w:val="center"/>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1</w:t>
            </w:r>
            <w:r>
              <w:rPr>
                <w:rFonts w:hint="eastAsia" w:ascii="宋体" w:hAnsi="宋体" w:eastAsia="宋体" w:cs="宋体"/>
                <w:color w:val="auto"/>
                <w:sz w:val="21"/>
                <w:szCs w:val="21"/>
                <w:highlight w:val="none"/>
                <w:lang w:val="en-US" w:eastAsia="zh-CN"/>
              </w:rPr>
              <w:t>2</w:t>
            </w:r>
          </w:p>
        </w:tc>
        <w:tc>
          <w:tcPr>
            <w:tcW w:w="8558" w:type="dxa"/>
            <w:noWrap w:val="0"/>
            <w:vAlign w:val="center"/>
          </w:tcPr>
          <w:p w14:paraId="118DDC39">
            <w:pPr>
              <w:pStyle w:val="2"/>
              <w:keepNext w:val="0"/>
              <w:keepLines w:val="0"/>
              <w:pageBreakBefore w:val="0"/>
              <w:kinsoku/>
              <w:wordWrap/>
              <w:overflowPunct/>
              <w:topLinePunct w:val="0"/>
              <w:autoSpaceDE/>
              <w:autoSpaceDN/>
              <w:bidi w:val="0"/>
              <w:adjustRightInd/>
              <w:snapToGrid/>
              <w:spacing w:line="324" w:lineRule="auto"/>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合同履行期限：自合同生效之日起至合同全部权利义务履行完毕之日止。</w:t>
            </w:r>
          </w:p>
        </w:tc>
      </w:tr>
      <w:tr w14:paraId="785604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4" w:hRule="atLeast"/>
          <w:jc w:val="center"/>
        </w:trPr>
        <w:tc>
          <w:tcPr>
            <w:tcW w:w="728" w:type="dxa"/>
            <w:noWrap w:val="0"/>
            <w:vAlign w:val="center"/>
          </w:tcPr>
          <w:p w14:paraId="05D7C67C">
            <w:pPr>
              <w:pStyle w:val="2"/>
              <w:keepNext w:val="0"/>
              <w:keepLines w:val="0"/>
              <w:pageBreakBefore w:val="0"/>
              <w:kinsoku/>
              <w:wordWrap/>
              <w:overflowPunct/>
              <w:topLinePunct w:val="0"/>
              <w:autoSpaceDE/>
              <w:autoSpaceDN/>
              <w:bidi w:val="0"/>
              <w:adjustRightInd/>
              <w:snapToGrid/>
              <w:spacing w:line="324" w:lineRule="auto"/>
              <w:jc w:val="center"/>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1</w:t>
            </w:r>
            <w:r>
              <w:rPr>
                <w:rFonts w:hint="eastAsia" w:ascii="宋体" w:hAnsi="宋体" w:eastAsia="宋体" w:cs="宋体"/>
                <w:color w:val="auto"/>
                <w:sz w:val="21"/>
                <w:szCs w:val="21"/>
                <w:highlight w:val="none"/>
                <w:lang w:val="en-US" w:eastAsia="zh-CN"/>
              </w:rPr>
              <w:t>3</w:t>
            </w:r>
          </w:p>
        </w:tc>
        <w:tc>
          <w:tcPr>
            <w:tcW w:w="8558" w:type="dxa"/>
            <w:noWrap w:val="0"/>
            <w:vAlign w:val="center"/>
          </w:tcPr>
          <w:p w14:paraId="7317D9EB">
            <w:pPr>
              <w:pStyle w:val="2"/>
              <w:keepNext w:val="0"/>
              <w:keepLines w:val="0"/>
              <w:pageBreakBefore w:val="0"/>
              <w:kinsoku/>
              <w:wordWrap/>
              <w:overflowPunct/>
              <w:topLinePunct w:val="0"/>
              <w:autoSpaceDE/>
              <w:autoSpaceDN/>
              <w:bidi w:val="0"/>
              <w:adjustRightInd/>
              <w:snapToGrid/>
              <w:spacing w:line="324" w:lineRule="auto"/>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合同纠纷的解决方式：</w:t>
            </w:r>
          </w:p>
          <w:p w14:paraId="7E3B85AD">
            <w:pPr>
              <w:pStyle w:val="2"/>
              <w:keepNext w:val="0"/>
              <w:keepLines w:val="0"/>
              <w:pageBreakBefore w:val="0"/>
              <w:kinsoku/>
              <w:wordWrap/>
              <w:overflowPunct/>
              <w:topLinePunct w:val="0"/>
              <w:autoSpaceDE/>
              <w:autoSpaceDN/>
              <w:bidi w:val="0"/>
              <w:adjustRightInd/>
              <w:snapToGrid/>
              <w:spacing w:line="324" w:lineRule="auto"/>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首先通过双方协商解决，协商解决不成，则通过以下途径之一解决纠纷(请在方框内画“√”选择)：</w:t>
            </w:r>
          </w:p>
          <w:p w14:paraId="6D235705">
            <w:pPr>
              <w:pStyle w:val="2"/>
              <w:keepNext w:val="0"/>
              <w:keepLines w:val="0"/>
              <w:pageBreakBefore w:val="0"/>
              <w:kinsoku/>
              <w:wordWrap/>
              <w:overflowPunct/>
              <w:topLinePunct w:val="0"/>
              <w:autoSpaceDE/>
              <w:autoSpaceDN/>
              <w:bidi w:val="0"/>
              <w:adjustRightInd/>
              <w:snapToGrid/>
              <w:spacing w:line="324" w:lineRule="auto"/>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□提请______仲裁委员会按照仲裁程序在______(仲裁地)仲裁</w:t>
            </w:r>
          </w:p>
          <w:p w14:paraId="60F6C77F">
            <w:pPr>
              <w:pStyle w:val="2"/>
              <w:keepNext w:val="0"/>
              <w:keepLines w:val="0"/>
              <w:pageBreakBefore w:val="0"/>
              <w:kinsoku/>
              <w:wordWrap/>
              <w:overflowPunct/>
              <w:topLinePunct w:val="0"/>
              <w:autoSpaceDE/>
              <w:autoSpaceDN/>
              <w:bidi w:val="0"/>
              <w:adjustRightInd/>
              <w:snapToGrid/>
              <w:spacing w:line="324" w:lineRule="auto"/>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□向甲方所在地人民法院提起诉讼</w:t>
            </w:r>
          </w:p>
        </w:tc>
      </w:tr>
    </w:tbl>
    <w:p w14:paraId="727C915B">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br w:type="page"/>
      </w:r>
    </w:p>
    <w:p w14:paraId="0F55C89C">
      <w:pPr>
        <w:pStyle w:val="2"/>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bookmarkStart w:id="2" w:name="_GoBack"/>
      <w:bookmarkEnd w:id="2"/>
      <w:r>
        <w:rPr>
          <w:rFonts w:hint="eastAsia" w:ascii="宋体" w:hAnsi="宋体" w:eastAsia="宋体" w:cs="宋体"/>
          <w:color w:val="auto"/>
          <w:sz w:val="21"/>
          <w:szCs w:val="21"/>
          <w:highlight w:val="none"/>
        </w:rPr>
        <w:t>1.定义</w:t>
      </w:r>
    </w:p>
    <w:p w14:paraId="03CCC099">
      <w:pPr>
        <w:pStyle w:val="2"/>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本合同下列术语应解释为：</w:t>
      </w:r>
    </w:p>
    <w:p w14:paraId="50B71AA5">
      <w:pPr>
        <w:pStyle w:val="2"/>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1.1　“甲方”是指采购人。</w:t>
      </w:r>
    </w:p>
    <w:p w14:paraId="7C01D469">
      <w:pPr>
        <w:pStyle w:val="2"/>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1.2　“乙方”是指中标人。</w:t>
      </w:r>
    </w:p>
    <w:p w14:paraId="45089968">
      <w:pPr>
        <w:pStyle w:val="2"/>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r>
        <w:rPr>
          <w:rFonts w:hint="eastAsia" w:hAnsi="宋体" w:eastAsia="宋体" w:cs="宋体"/>
          <w:color w:val="auto"/>
          <w:sz w:val="21"/>
          <w:szCs w:val="21"/>
          <w:highlight w:val="none"/>
          <w:lang w:val="en-US" w:eastAsia="zh-CN"/>
        </w:rPr>
        <w:t>3</w:t>
      </w:r>
      <w:r>
        <w:rPr>
          <w:rFonts w:hint="eastAsia" w:ascii="宋体" w:hAnsi="宋体" w:eastAsia="宋体" w:cs="宋体"/>
          <w:color w:val="auto"/>
          <w:sz w:val="21"/>
          <w:szCs w:val="21"/>
          <w:highlight w:val="none"/>
        </w:rPr>
        <w:t>　“合同”系指甲乙双方签署的、合同中载明的甲乙双方所达成的协议，包括所有的附件、附录和上述文件所提到的构成合同的所有文件。</w:t>
      </w:r>
    </w:p>
    <w:p w14:paraId="38EAF889">
      <w:pPr>
        <w:pStyle w:val="2"/>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r>
        <w:rPr>
          <w:rFonts w:hint="eastAsia" w:hAnsi="宋体" w:eastAsia="宋体" w:cs="宋体"/>
          <w:color w:val="auto"/>
          <w:sz w:val="21"/>
          <w:szCs w:val="21"/>
          <w:highlight w:val="none"/>
          <w:lang w:val="en-US" w:eastAsia="zh-CN"/>
        </w:rPr>
        <w:t>4</w:t>
      </w:r>
      <w:r>
        <w:rPr>
          <w:rFonts w:hint="eastAsia" w:ascii="宋体" w:hAnsi="宋体" w:eastAsia="宋体" w:cs="宋体"/>
          <w:color w:val="auto"/>
          <w:sz w:val="21"/>
          <w:szCs w:val="21"/>
          <w:highlight w:val="none"/>
        </w:rPr>
        <w:t>　“服务”是指乙方按照招标、投标文件要求，向采购人提供的技术支持服务。</w:t>
      </w:r>
    </w:p>
    <w:p w14:paraId="6D0444AA">
      <w:pPr>
        <w:pStyle w:val="2"/>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r>
        <w:rPr>
          <w:rFonts w:hint="eastAsia" w:hAnsi="宋体" w:eastAsia="宋体" w:cs="宋体"/>
          <w:color w:val="auto"/>
          <w:sz w:val="21"/>
          <w:szCs w:val="21"/>
          <w:highlight w:val="none"/>
          <w:lang w:val="en-US" w:eastAsia="zh-CN"/>
        </w:rPr>
        <w:t>5</w:t>
      </w:r>
      <w:r>
        <w:rPr>
          <w:rFonts w:hint="eastAsia" w:ascii="宋体" w:hAnsi="宋体" w:eastAsia="宋体" w:cs="宋体"/>
          <w:color w:val="auto"/>
          <w:sz w:val="21"/>
          <w:szCs w:val="21"/>
          <w:highlight w:val="none"/>
        </w:rPr>
        <w:t>　“项目现场”是指甲方指定的最终服务地点。</w:t>
      </w:r>
    </w:p>
    <w:p w14:paraId="18DA224D">
      <w:pPr>
        <w:pStyle w:val="2"/>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r>
        <w:rPr>
          <w:rFonts w:hint="eastAsia" w:hAnsi="宋体" w:eastAsia="宋体" w:cs="宋体"/>
          <w:color w:val="auto"/>
          <w:sz w:val="21"/>
          <w:szCs w:val="21"/>
          <w:highlight w:val="none"/>
          <w:lang w:val="en-US" w:eastAsia="zh-CN"/>
        </w:rPr>
        <w:t>6</w:t>
      </w:r>
      <w:r>
        <w:rPr>
          <w:rFonts w:hint="eastAsia" w:ascii="宋体" w:hAnsi="宋体" w:eastAsia="宋体" w:cs="宋体"/>
          <w:color w:val="auto"/>
          <w:sz w:val="21"/>
          <w:szCs w:val="21"/>
          <w:highlight w:val="none"/>
        </w:rPr>
        <w:t>　“天”除非特别指出，“天”均为自然天。</w:t>
      </w:r>
    </w:p>
    <w:p w14:paraId="4ED4399D">
      <w:pPr>
        <w:pStyle w:val="2"/>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2.服务标准</w:t>
      </w:r>
    </w:p>
    <w:p w14:paraId="5465E8B1">
      <w:pPr>
        <w:pStyle w:val="2"/>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2.1　乙方为甲方交付的服务应符合招标文件所述的内容，如果没有提及适用标准，则应符合相应的国家标准。这些标准必须是有关机构发布的最新版本的标准。</w:t>
      </w:r>
    </w:p>
    <w:p w14:paraId="36892148">
      <w:pPr>
        <w:pStyle w:val="2"/>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2.2　除非技术要求中另有规定，计量单位均采用中华人民共和国法定计量单位。</w:t>
      </w:r>
    </w:p>
    <w:p w14:paraId="5C5E17DA">
      <w:pPr>
        <w:pStyle w:val="2"/>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3.服务</w:t>
      </w:r>
    </w:p>
    <w:p w14:paraId="4199D58F">
      <w:pPr>
        <w:pStyle w:val="2"/>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3.1　乙方应按照合同的规定，提供下列服务甲方提供符合要求的服务。</w:t>
      </w:r>
    </w:p>
    <w:p w14:paraId="0FC874F5">
      <w:pPr>
        <w:pStyle w:val="2"/>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4.知识产权</w:t>
      </w:r>
    </w:p>
    <w:p w14:paraId="32518B93">
      <w:pPr>
        <w:pStyle w:val="2"/>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4.1　乙方应保证所提供的服务免受第三方提出侵犯其知识产权(专利权、商标权、版权等)的起诉。因侵害他人知识产权而产生的法律责任，全部由投标人承担。</w:t>
      </w:r>
    </w:p>
    <w:p w14:paraId="1A804373">
      <w:pPr>
        <w:pStyle w:val="2"/>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4.2　甲方委托乙方开发的产品，甲方享有知识产权，未经甲方许可不得转让任何第三人。</w:t>
      </w:r>
    </w:p>
    <w:p w14:paraId="3E3453BB">
      <w:pPr>
        <w:pStyle w:val="2"/>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5.保密条款</w:t>
      </w:r>
    </w:p>
    <w:p w14:paraId="2A49E740">
      <w:pPr>
        <w:pStyle w:val="2"/>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5.1　甲乙双方应对在本合同签订或履行过程中所接触的对方信息，包括但不限于知识产权、技术资料、技术诀窍、内部管理及其他相关信息，负有保密义务。</w:t>
      </w:r>
    </w:p>
    <w:p w14:paraId="30E1B8FC">
      <w:pPr>
        <w:pStyle w:val="2"/>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5.2　乙方在使用甲方为乙方及其工作人员提供的数据、程序、用户名、口令、资料及甲方相关的业务和技术文档，包括税收政策、方案设计细节、程序文件、数据结构，以及相关业务系统的硬软件、文档、测试和测试产生的数据时，应遵循以下规定：</w:t>
      </w:r>
    </w:p>
    <w:p w14:paraId="2356E379">
      <w:pPr>
        <w:pStyle w:val="2"/>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(1)应以审慎态度避免泄露、公开或传播甲方的信息；</w:t>
      </w:r>
    </w:p>
    <w:p w14:paraId="0790D115">
      <w:pPr>
        <w:pStyle w:val="2"/>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(2)未经甲方书面许可，不得对有关信息进行修改、补充、复制；</w:t>
      </w:r>
    </w:p>
    <w:p w14:paraId="0FFCED7C">
      <w:pPr>
        <w:pStyle w:val="2"/>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(3)未经甲方书面许可，不得将信息以任何方式(如E－mail)携带出甲方场所；</w:t>
      </w:r>
    </w:p>
    <w:p w14:paraId="5C864D0B">
      <w:pPr>
        <w:pStyle w:val="2"/>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(4)未经甲方书面许可，不得将信息透露给任何其他人；</w:t>
      </w:r>
    </w:p>
    <w:p w14:paraId="4BA07959">
      <w:pPr>
        <w:pStyle w:val="2"/>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(5)甲方以书面形式提出的其他保密措施。</w:t>
      </w:r>
    </w:p>
    <w:p w14:paraId="542EA568">
      <w:pPr>
        <w:pStyle w:val="2"/>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5.3　保密期限不受合同有效期的限制，在合同有效期结束后，信息接受方仍应承担保密义务，直至该等信息成为公开信息。</w:t>
      </w:r>
    </w:p>
    <w:p w14:paraId="39FAFE1E">
      <w:pPr>
        <w:pStyle w:val="2"/>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5.4　甲乙双方如出现泄密行为，泄密方应承担相关的法律责任，包括但是不限于对由此给对方造成的经济损失进行赔偿。</w:t>
      </w:r>
    </w:p>
    <w:p w14:paraId="7285AD4C">
      <w:pPr>
        <w:pStyle w:val="2"/>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6.服务质量保证</w:t>
      </w:r>
    </w:p>
    <w:p w14:paraId="403B5FC4">
      <w:pPr>
        <w:pStyle w:val="2"/>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6.1　乙方应保证所提供的服务，符合合同规定的技术要求。如不符时，乙方应负全责并尽快处理解决，由此造成的损失和相关费用由乙方负责，甲方保留终止合同及索赔的权利。</w:t>
      </w:r>
    </w:p>
    <w:p w14:paraId="26FFB6FD">
      <w:pPr>
        <w:pStyle w:val="2"/>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6.2　乙方应保证通过执行合同中全部方案后，可以取得本合同规定的结果，达到本合同规定的预期目标。对任何情况下出现问题的，应尽快提出解决方案。</w:t>
      </w:r>
    </w:p>
    <w:p w14:paraId="2E07ACC7">
      <w:pPr>
        <w:pStyle w:val="2"/>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6.3　如果乙方提供的服务和解决方案不符合甲方要求，或在规定的时间内没有弥补缺陷，甲方有权采取一切必要的补救措施，由此产生的费用全部由乙方负责。</w:t>
      </w:r>
    </w:p>
    <w:p w14:paraId="175CB135">
      <w:pPr>
        <w:pStyle w:val="2"/>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7.履约保证金</w:t>
      </w:r>
    </w:p>
    <w:p w14:paraId="7566A924">
      <w:pPr>
        <w:pStyle w:val="2"/>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7.1　履约保证金具体金额及返还要求见合同条款前附表。</w:t>
      </w:r>
    </w:p>
    <w:p w14:paraId="4A7EBA02">
      <w:pPr>
        <w:pStyle w:val="2"/>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8.服务时间、地点与验收</w:t>
      </w:r>
    </w:p>
    <w:p w14:paraId="708F2DB9">
      <w:pPr>
        <w:pStyle w:val="2"/>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8.1　服务地点：合同条款前附表指定地点。</w:t>
      </w:r>
    </w:p>
    <w:p w14:paraId="6892CEEE">
      <w:pPr>
        <w:pStyle w:val="2"/>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8.2　服务时间：合同条款前附表指定时间。</w:t>
      </w:r>
    </w:p>
    <w:p w14:paraId="573D1A2D">
      <w:pPr>
        <w:pStyle w:val="2"/>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8.3　甲方应在乙方完成相关服务工作后及时对服务质量、技术指标、服务成果进行验收。</w:t>
      </w:r>
    </w:p>
    <w:p w14:paraId="24B23BE1">
      <w:pPr>
        <w:pStyle w:val="2"/>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9.违约责任</w:t>
      </w:r>
    </w:p>
    <w:p w14:paraId="04968A99">
      <w:pPr>
        <w:pStyle w:val="2"/>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9.1　服务缺陷的补救措施和索赔</w:t>
      </w:r>
    </w:p>
    <w:p w14:paraId="2A4A9978">
      <w:pPr>
        <w:pStyle w:val="2"/>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(1)如果乙方提供的服务不符合本合同约定以及招标文件、投标文件关于服务的要求和承诺，乙方应按照甲方同意的下列一种或几种方式结合起来解决索赔事宜：</w:t>
      </w:r>
    </w:p>
    <w:p w14:paraId="5E9CEE8A">
      <w:pPr>
        <w:pStyle w:val="2"/>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①乙方同意将服务款项目退还给甲方，由此发生的一切费用和损失由乙方承担。如甲方以适当的条件和方法购买与未履约标的相类似的服务，乙方应负担新购买类似服务所超出的费用。</w:t>
      </w:r>
    </w:p>
    <w:p w14:paraId="05177BB2">
      <w:pPr>
        <w:pStyle w:val="2"/>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②根据服务的质量状况以及甲方所遭受的损失，经过甲乙双方商定降低服务的价格。</w:t>
      </w:r>
    </w:p>
    <w:p w14:paraId="3C179959">
      <w:pPr>
        <w:pStyle w:val="2"/>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如果在甲方发出索赔通知后10日内乙方未作答复，上述索赔应视为已被乙方接受。如果乙方未能在甲方发出索赔通知后10日内或甲方同意延长的期限内，按照上述规定的任何一种方法采取补救措施，甲方有权从应付服务款中扣除索赔金额，如不足以弥补甲方损失的，甲方有权进一步要求乙方赔偿。</w:t>
      </w:r>
    </w:p>
    <w:p w14:paraId="2174E835">
      <w:pPr>
        <w:pStyle w:val="2"/>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9.2　迟延履约的违约责任</w:t>
      </w:r>
    </w:p>
    <w:p w14:paraId="1B17611D">
      <w:pPr>
        <w:pStyle w:val="2"/>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(1)乙方应按照本合同规定的时间、地点提供服务。</w:t>
      </w:r>
    </w:p>
    <w:p w14:paraId="3E6A59AA">
      <w:pPr>
        <w:pStyle w:val="2"/>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在履行合同过程中，如果乙方遇到可能妨碍按时提供服务的情形时，应及时以书面形式将迟延的事实、可能迟延的期限和理由通知甲方。甲方在收到乙方通知后，应尽快对情况进行评价，并确定是否同意延期提供服务。</w:t>
      </w:r>
    </w:p>
    <w:p w14:paraId="4AE92B09">
      <w:pPr>
        <w:pStyle w:val="2"/>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除甲乙双方另有约定外，如果乙方没有按照合同规定的时间提供服务，且没有在甲方同意的延长的期限内进行补救时，甲方有权从服务款中扣除或要求乙方另行支付误期赔偿费而不影响合同项下的其他补救方法。赔偿费每日按合同金额的0.5%(各单位可根据实际情况重新设定)计收，直至交货或提供服务为止。但误期赔偿费的最高限额不超过合同价的15%(各单位可根据实际情况重新设定)。</w:t>
      </w:r>
    </w:p>
    <w:p w14:paraId="3FF8D786">
      <w:pPr>
        <w:pStyle w:val="2"/>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(4)如果乙方延迟履约超过30日，甲方有权终止全部或部分合同，并依其认为适当的条件和方法购买与未履约类似的服务，乙方应负担购买类似服务所超出的费用。但是，乙方应继续执行合同中未终止的部分。</w:t>
      </w:r>
    </w:p>
    <w:p w14:paraId="3BCE0249">
      <w:pPr>
        <w:pStyle w:val="2"/>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9.3　未履行合同义务的违约责任</w:t>
      </w:r>
    </w:p>
    <w:p w14:paraId="027A7FEC">
      <w:pPr>
        <w:pStyle w:val="2"/>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(1)守约方有权终止全部或部分合同。</w:t>
      </w:r>
    </w:p>
    <w:p w14:paraId="3C6663F7">
      <w:pPr>
        <w:pStyle w:val="2"/>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w:t>
      </w:r>
      <w:r>
        <w:rPr>
          <w:rFonts w:hint="eastAsia" w:hAnsi="宋体" w:eastAsia="宋体" w:cs="宋体"/>
          <w:color w:val="auto"/>
          <w:sz w:val="21"/>
          <w:szCs w:val="21"/>
          <w:highlight w:val="none"/>
          <w:lang w:val="en-US" w:eastAsia="zh-CN"/>
        </w:rPr>
        <w:t>2</w:t>
      </w:r>
      <w:r>
        <w:rPr>
          <w:rFonts w:hint="eastAsia" w:ascii="宋体" w:hAnsi="宋体" w:eastAsia="宋体" w:cs="宋体"/>
          <w:color w:val="auto"/>
          <w:sz w:val="21"/>
          <w:szCs w:val="21"/>
          <w:highlight w:val="none"/>
        </w:rPr>
        <w:t>)由违约一方支付违约金，违约金标准见合同条款前附表(各单位可根据实际情况自行约定)。</w:t>
      </w:r>
    </w:p>
    <w:p w14:paraId="38DD4803">
      <w:pPr>
        <w:pStyle w:val="2"/>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w:t>
      </w:r>
      <w:r>
        <w:rPr>
          <w:rFonts w:hint="eastAsia" w:hAnsi="宋体" w:eastAsia="宋体" w:cs="宋体"/>
          <w:color w:val="auto"/>
          <w:sz w:val="21"/>
          <w:szCs w:val="21"/>
          <w:highlight w:val="none"/>
          <w:lang w:val="en-US" w:eastAsia="zh-CN"/>
        </w:rPr>
        <w:t>3</w:t>
      </w:r>
      <w:r>
        <w:rPr>
          <w:rFonts w:hint="eastAsia" w:ascii="宋体" w:hAnsi="宋体" w:eastAsia="宋体" w:cs="宋体"/>
          <w:color w:val="auto"/>
          <w:sz w:val="21"/>
          <w:szCs w:val="21"/>
          <w:highlight w:val="none"/>
        </w:rPr>
        <w:t>)违约金不足以弥补守约方实际损失、可预见或者应当预见的损失，由违约方全额予以赔偿。</w:t>
      </w:r>
    </w:p>
    <w:p w14:paraId="2C6351DC">
      <w:pPr>
        <w:pStyle w:val="2"/>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10.不可抗力</w:t>
      </w:r>
    </w:p>
    <w:p w14:paraId="650C67CF">
      <w:pPr>
        <w:pStyle w:val="2"/>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10.1　如果合同双方因不可抗力而导致合同实施延误或合同无法实施，不应该承担误期赔偿或不能履行合同义务的责任。</w:t>
      </w:r>
    </w:p>
    <w:p w14:paraId="79400671">
      <w:pPr>
        <w:pStyle w:val="2"/>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10.2　本条所述的“不可抗力”系指那些双方不可预见、不可避免、不可克服的客观情况，但不包括双方的违约或疏忽。这些事件包括但不限于：战争、严重火灾、洪水、台风、地震等。</w:t>
      </w:r>
    </w:p>
    <w:p w14:paraId="11CAE917">
      <w:pPr>
        <w:pStyle w:val="2"/>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10.3　在不可抗力事件发生后，当事方应及时将不可抗力情况通知合同对方，在不可抗力事件结束后3日内以书面形式将不可抗力的情况和原因通知合同对方，并提供相应的证明文件。合同各方应尽可能继续履行合同义务，并积极寻求采取合理的措施履行不受不可抗力影响的其他事项。合同各方应通过友好协商在合理的时间内达成进一步履行的协议。</w:t>
      </w:r>
    </w:p>
    <w:p w14:paraId="2ADA8D27">
      <w:pPr>
        <w:pStyle w:val="2"/>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11.合同纠纷的解决方式</w:t>
      </w:r>
    </w:p>
    <w:p w14:paraId="6823114E">
      <w:pPr>
        <w:pStyle w:val="2"/>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11.1　合同各方应通过友好协商，解决在执行合同过程中所发生的或与合同有关的一切争端。如协商30日内(根据实际情况设定)不能解决，可以按合同规定的方式提起仲裁或诉讼。</w:t>
      </w:r>
    </w:p>
    <w:p w14:paraId="11163EEC">
      <w:pPr>
        <w:pStyle w:val="2"/>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11.2　仲裁裁决应为最终裁决，对双方均具有约束力。</w:t>
      </w:r>
    </w:p>
    <w:p w14:paraId="66B21C98">
      <w:pPr>
        <w:pStyle w:val="2"/>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11.3　仲裁费除仲裁机关另有裁决外应由败诉方负担。</w:t>
      </w:r>
    </w:p>
    <w:p w14:paraId="19392807">
      <w:pPr>
        <w:pStyle w:val="2"/>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11.4　</w:t>
      </w:r>
      <w:bookmarkStart w:id="0" w:name="_Hlk535772996"/>
      <w:r>
        <w:rPr>
          <w:rFonts w:hint="eastAsia" w:ascii="宋体" w:hAnsi="宋体" w:eastAsia="宋体" w:cs="宋体"/>
          <w:color w:val="auto"/>
          <w:sz w:val="21"/>
          <w:szCs w:val="21"/>
          <w:highlight w:val="none"/>
        </w:rPr>
        <w:t>诉讼应由甲方住所地人民法院管辖。财产保全担保保险费、财产保全申请费、律师代理费、差旅费、评估费、鉴定费及诉讼费等与仲裁或诉讼活动相关费用应由败诉方负担。</w:t>
      </w:r>
      <w:bookmarkEnd w:id="0"/>
    </w:p>
    <w:p w14:paraId="786FDA17">
      <w:pPr>
        <w:pStyle w:val="2"/>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11.5　如仲裁或诉讼事项不影响合同其他部分的履行，则在仲裁或诉讼期间，除正在进行仲裁或诉讼的部分外，合同的其他部分应继续执行。</w:t>
      </w:r>
    </w:p>
    <w:p w14:paraId="61840319">
      <w:pPr>
        <w:pStyle w:val="2"/>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12.合同修改或变更</w:t>
      </w:r>
    </w:p>
    <w:p w14:paraId="2EE43BF0">
      <w:pPr>
        <w:pStyle w:val="2"/>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12.1　如无重大变故，甲方双方不得擅自变更合同。</w:t>
      </w:r>
    </w:p>
    <w:p w14:paraId="795E808E">
      <w:pPr>
        <w:pStyle w:val="2"/>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12.2　如确需变更合同，甲乙双方应签署书面变更协议。变更协议为本合同不可分割的一部分。</w:t>
      </w:r>
    </w:p>
    <w:p w14:paraId="3BBA5029">
      <w:pPr>
        <w:pStyle w:val="2"/>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12.3　在不改变合同其他条款的前提下，甲方有权在合同价款10%的范围内追加与合同标的相同的货物或服务，并就此与乙方签订补充合同，乙方不得拒绝。</w:t>
      </w:r>
    </w:p>
    <w:p w14:paraId="7F9B491B">
      <w:pPr>
        <w:pStyle w:val="2"/>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13.合同中止</w:t>
      </w:r>
    </w:p>
    <w:p w14:paraId="469E5E5F">
      <w:pPr>
        <w:pStyle w:val="2"/>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13.1合同在履行过程中，因采购计划调整，甲方可以要求中止履行，待计划确定后继续履行；合同履行过程中因投标人就采购过程或结果提起投诉的，甲方认为有必要或财政部责令中止的，应当中止合同的履行。</w:t>
      </w:r>
    </w:p>
    <w:p w14:paraId="6D993E7F">
      <w:pPr>
        <w:pStyle w:val="2"/>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14.终止合同</w:t>
      </w:r>
    </w:p>
    <w:p w14:paraId="3B767C72">
      <w:pPr>
        <w:pStyle w:val="2"/>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14.1　若出现如下情况，在甲方对乙方违约行为而采取的任何补救措施不受影响的情况下，甲方可向乙方发出书面通知书，提出终止部分或全部合同。</w:t>
      </w:r>
    </w:p>
    <w:p w14:paraId="58BC4F97">
      <w:pPr>
        <w:pStyle w:val="2"/>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14.1.1　如果乙方未能在合同规定的期限或甲方同意延长的期限内提供服务；</w:t>
      </w:r>
    </w:p>
    <w:p w14:paraId="410A2435">
      <w:pPr>
        <w:pStyle w:val="2"/>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14.1.2　因乙方技术人员自身技术能力、经验不足等原因造成甲方硬件设备、应用系统发生重大紧急故障或应用系统数据丢失，带来重大影响和损失的；</w:t>
      </w:r>
    </w:p>
    <w:p w14:paraId="22762E95">
      <w:pPr>
        <w:pStyle w:val="2"/>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14.1.3　乙方对甲方硬件设备、应用系统重大紧急故障没有及时响应，或不能在规定时间内解决处理故障，恢复系统正常运行的；</w:t>
      </w:r>
    </w:p>
    <w:p w14:paraId="79232DA8">
      <w:pPr>
        <w:pStyle w:val="2"/>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14.1.4　不能满足本项目技术需求的管理要求和规范，且经多次整改无明显改进的；</w:t>
      </w:r>
    </w:p>
    <w:p w14:paraId="79EE1CC3">
      <w:pPr>
        <w:pStyle w:val="2"/>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14.1.5　在合同规定的每个服务年度(12个自然月)内，在运行维护支持服务过程中，出现2次经甲乙双方确认的违规操作的。</w:t>
      </w:r>
    </w:p>
    <w:p w14:paraId="3C4F108A">
      <w:pPr>
        <w:pStyle w:val="2"/>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14.2　如果甲方根据上述第14.1条的规定，终止了全部或部分合同，甲方可以适当的条件和方法购买乙方未能提供的服务，乙方应对甲方购买类似服务所超出的费用负责。同时，乙方应继续执行合同中未终止的部分。</w:t>
      </w:r>
    </w:p>
    <w:p w14:paraId="34E9008B">
      <w:pPr>
        <w:pStyle w:val="2"/>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15.破产终止合同</w:t>
      </w:r>
    </w:p>
    <w:p w14:paraId="406E2123">
      <w:pPr>
        <w:pStyle w:val="2"/>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15.1　如果乙方破产或无清偿能力，甲方可在任何时候以书面形式通知乙方终止合同而不给乙方补偿。</w:t>
      </w:r>
    </w:p>
    <w:p w14:paraId="4ED3CEBD">
      <w:pPr>
        <w:pStyle w:val="2"/>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15.2　该终止行为将不损害或影响甲方已经采取或将要采取的任何行动或补救措施的权利。</w:t>
      </w:r>
    </w:p>
    <w:p w14:paraId="4C7ECA28">
      <w:pPr>
        <w:pStyle w:val="2"/>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16.其他情况的终止合同</w:t>
      </w:r>
    </w:p>
    <w:p w14:paraId="752D601C">
      <w:pPr>
        <w:pStyle w:val="2"/>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16.1　若合同继续履行将给甲方造成重大损失的，甲方可以终止合同而不给予乙方任何补偿。</w:t>
      </w:r>
    </w:p>
    <w:p w14:paraId="6971C65F">
      <w:pPr>
        <w:pStyle w:val="2"/>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16.2　乙方在执行合同的过程中发生重大事故，对履行合同有直接影响的，甲方可以终止合同而不给予乙方任何补偿。</w:t>
      </w:r>
    </w:p>
    <w:p w14:paraId="46207B7C">
      <w:pPr>
        <w:pStyle w:val="2"/>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16.3　甲方因重大变故取消或部分取消原来的采购任务，导致合同全部或部分内容无须继续履行的，可以终止合同而不给予乙方任何补偿。</w:t>
      </w:r>
    </w:p>
    <w:p w14:paraId="4903E3CC">
      <w:pPr>
        <w:pStyle w:val="2"/>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17.合同转让和分包</w:t>
      </w:r>
    </w:p>
    <w:p w14:paraId="606CDE5A">
      <w:pPr>
        <w:pStyle w:val="2"/>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17.1　乙方不得以任何形式将合同转包，或部分或全部转让其应履行的合同义务。</w:t>
      </w:r>
    </w:p>
    <w:p w14:paraId="0BAA5F45">
      <w:pPr>
        <w:pStyle w:val="2"/>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17.2　除经甲方事先书面同意外，乙方不得以任何形式将合同分包。</w:t>
      </w:r>
    </w:p>
    <w:p w14:paraId="38CC33B7">
      <w:pPr>
        <w:pStyle w:val="2"/>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18.适用法律</w:t>
      </w:r>
    </w:p>
    <w:p w14:paraId="751D43D2">
      <w:pPr>
        <w:pStyle w:val="2"/>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18.1　本合同适用中华人民共和国现行法律、行政法规和规章，如合同条款与法律、行政法规和规章不一致的，按照法律、行政法规和规章修改本合同。</w:t>
      </w:r>
    </w:p>
    <w:p w14:paraId="54E3C6FC">
      <w:pPr>
        <w:pStyle w:val="2"/>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19.合同语言</w:t>
      </w:r>
    </w:p>
    <w:p w14:paraId="05D3B7A1">
      <w:pPr>
        <w:pStyle w:val="2"/>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19.1　本合同语言为中文。</w:t>
      </w:r>
    </w:p>
    <w:p w14:paraId="79DCC122">
      <w:pPr>
        <w:pStyle w:val="2"/>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19.2　双方交换的与合同有关的信件和其他文件应用合同语言书写。</w:t>
      </w:r>
    </w:p>
    <w:p w14:paraId="3A214B4F">
      <w:pPr>
        <w:pStyle w:val="2"/>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20.合同生效</w:t>
      </w:r>
    </w:p>
    <w:p w14:paraId="0B5C57DD">
      <w:pPr>
        <w:pStyle w:val="2"/>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20.1　本合同应在双方签字盖章。</w:t>
      </w:r>
    </w:p>
    <w:p w14:paraId="6C088DEB">
      <w:pPr>
        <w:pStyle w:val="2"/>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21.合同效力</w:t>
      </w:r>
    </w:p>
    <w:p w14:paraId="066FC900">
      <w:pPr>
        <w:pStyle w:val="2"/>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21.1　</w:t>
      </w:r>
      <w:bookmarkStart w:id="1" w:name="_Hlk535773071"/>
      <w:r>
        <w:rPr>
          <w:rFonts w:hint="eastAsia" w:ascii="宋体" w:hAnsi="宋体" w:eastAsia="宋体" w:cs="宋体"/>
          <w:color w:val="auto"/>
          <w:sz w:val="21"/>
          <w:szCs w:val="21"/>
          <w:highlight w:val="none"/>
        </w:rPr>
        <w:t>除本合同和甲乙双方书面签署的补充协议外，其他任何形式的双方约定和往来函件均不具有法律效力，对本项目无约束力。</w:t>
      </w:r>
    </w:p>
    <w:bookmarkEnd w:id="1"/>
    <w:p w14:paraId="36CB0291">
      <w:pPr>
        <w:pStyle w:val="2"/>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22.检查和审计</w:t>
      </w:r>
    </w:p>
    <w:p w14:paraId="1BDABC11">
      <w:pPr>
        <w:pStyle w:val="2"/>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22.1在本合同的履行过程中，甲方有权对乙方的合同履约情况进行阶段性检查，并对乙方投标时提供的相关资料进行复核。</w:t>
      </w:r>
    </w:p>
    <w:p w14:paraId="069BD19C">
      <w:pPr>
        <w:keepNext w:val="0"/>
        <w:keepLines w:val="0"/>
        <w:pageBreakBefore w:val="0"/>
        <w:widowControl w:val="0"/>
        <w:kinsoku/>
        <w:wordWrap/>
        <w:overflowPunct/>
        <w:topLinePunct w:val="0"/>
        <w:autoSpaceDE/>
        <w:autoSpaceDN/>
        <w:bidi w:val="0"/>
        <w:adjustRightInd/>
        <w:snapToGrid/>
        <w:spacing w:line="324" w:lineRule="auto"/>
        <w:ind w:firstLine="315" w:firstLineChars="150"/>
        <w:jc w:val="left"/>
        <w:textAlignment w:val="auto"/>
        <w:rPr>
          <w:rFonts w:hint="eastAsia" w:ascii="宋体" w:hAnsi="宋体" w:eastAsia="宋体" w:cs="宋体"/>
        </w:rPr>
      </w:pPr>
      <w:r>
        <w:rPr>
          <w:rFonts w:hint="eastAsia" w:ascii="宋体" w:hAnsi="宋体" w:eastAsia="宋体" w:cs="宋体"/>
          <w:color w:val="auto"/>
          <w:sz w:val="21"/>
          <w:szCs w:val="21"/>
          <w:highlight w:val="none"/>
        </w:rPr>
        <w:t>22.2　在本合同的履行过程中，如果甲乙双方发生争议或者乙方没有按照合同约定履行义务，乙方应允许甲方检查乙方与实施本合同有关的账户和记录，并由甲方指定的审计人员对其进行审计。</w:t>
      </w:r>
    </w:p>
    <w:p w14:paraId="0B916EE5">
      <w:pPr>
        <w:pStyle w:val="5"/>
        <w:rPr>
          <w:rFonts w:hint="eastAsia" w:ascii="宋体" w:hAnsi="宋体" w:eastAsia="宋体" w:cs="宋体"/>
          <w:lang w:val="en-US" w:eastAsia="zh-Hans"/>
        </w:rPr>
      </w:pPr>
    </w:p>
    <w:p w14:paraId="4DC8477E">
      <w:pPr>
        <w:pStyle w:val="5"/>
        <w:rPr>
          <w:rFonts w:hint="eastAsia" w:ascii="宋体" w:hAnsi="宋体" w:eastAsia="宋体" w:cs="宋体"/>
          <w:lang w:val="en-US" w:eastAsia="zh-Hans"/>
        </w:rPr>
      </w:pPr>
    </w:p>
    <w:p w14:paraId="64C4F2E2"/>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swiss"/>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0BE7D41"/>
    <w:rsid w:val="5BAF21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line="480" w:lineRule="atLeast"/>
    </w:pPr>
    <w:rPr>
      <w:rFonts w:ascii="仿宋" w:hAnsi="仿宋" w:eastAsia="仿宋" w:cs="仿宋"/>
      <w:kern w:val="2"/>
      <w:sz w:val="28"/>
      <w:szCs w:val="24"/>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Plain Text"/>
    <w:basedOn w:val="1"/>
    <w:qFormat/>
    <w:uiPriority w:val="99"/>
    <w:rPr>
      <w:rFonts w:ascii="宋体" w:hAnsi="Courier New"/>
      <w:szCs w:val="21"/>
    </w:rPr>
  </w:style>
  <w:style w:type="paragraph" w:customStyle="1" w:styleId="5">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4819</Words>
  <Characters>5221</Characters>
  <Lines>0</Lines>
  <Paragraphs>0</Paragraphs>
  <TotalTime>0</TotalTime>
  <ScaleCrop>false</ScaleCrop>
  <LinksUpToDate>false</LinksUpToDate>
  <CharactersWithSpaces>5324</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2025-11-22T11:39:00Z</dcterms:created>
  <dc:creator>Tang</dc:creator>
  <cp:lastModifiedBy>H</cp:lastModifiedBy>
  <dcterms:modified xsi:type="dcterms:W3CDTF">2026-03-23T10:24:35Z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eyJoZGlkIjoiNWVlZWQ2MGQxNmE1ODQyMmRiYjA3Yzk4MTMyMWVjOGQiLCJ1c2VySWQiOiI1MjUwOTc0MjQifQ==</vt:lpwstr>
  </property>
  <property fmtid="{D5CDD505-2E9C-101B-9397-08002B2CF9AE}" pid="4" name="ICV">
    <vt:lpwstr>8EB4159475714A02994AD039A15EB5AF_12</vt:lpwstr>
  </property>
</Properties>
</file>