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版本号：ZX2026-03-16.20260323001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陕西省知识产权强省建设成果发布推广项目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ZX2026-03-16.</w:t>
      </w:r>
      <w:r>
        <w:br/>
      </w:r>
      <w:r>
        <w:br/>
      </w:r>
      <w:r>
        <w:br/>
      </w:r>
    </w:p>
    <w:p>
      <w:pPr>
        <w:pStyle w:val="null3"/>
        <w:jc w:val="center"/>
        <w:outlineLvl w:val="2"/>
      </w:pPr>
      <w:r>
        <w:rPr>
          <w:rFonts w:ascii="仿宋_GB2312" w:hAnsi="仿宋_GB2312" w:cs="仿宋_GB2312" w:eastAsia="仿宋_GB2312"/>
          <w:sz w:val="28"/>
          <w:b/>
        </w:rPr>
        <w:t>陕西省知识产权局机关</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陕西省知识产权局机关</w:t>
      </w:r>
      <w:r>
        <w:rPr>
          <w:rFonts w:ascii="仿宋_GB2312" w:hAnsi="仿宋_GB2312" w:cs="仿宋_GB2312" w:eastAsia="仿宋_GB2312"/>
        </w:rPr>
        <w:t>委托，拟对</w:t>
      </w:r>
      <w:r>
        <w:rPr>
          <w:rFonts w:ascii="仿宋_GB2312" w:hAnsi="仿宋_GB2312" w:cs="仿宋_GB2312" w:eastAsia="仿宋_GB2312"/>
        </w:rPr>
        <w:t>陕西省知识产权强省建设成果发布推广项目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ZX2026-03-16.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陕西省知识产权强省建设成果发布推广项目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陕西省知识产权强省建设成果发布推广项目，1项，具体内容详见磋商文件第三章。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采购包1（陕西省知识产权强省建设成果发布推广项目）：属于专门面向小微企业采购。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1、法定代表人授权委托书：法定代表人参加磋商的，须提供法定代表人身份证复印件；法定代表人授权本单位他人参加磋商的，须提供法定代表人授权委托书。</w:t>
      </w:r>
    </w:p>
    <w:p>
      <w:pPr>
        <w:pStyle w:val="null3"/>
      </w:pPr>
      <w:r>
        <w:rPr>
          <w:rFonts w:ascii="仿宋_GB2312" w:hAnsi="仿宋_GB2312" w:cs="仿宋_GB2312" w:eastAsia="仿宋_GB2312"/>
        </w:rPr>
        <w:t>2、本项目不接受联合体投标，不允许分包：本项目不接受联合体磋商，不允许分包。供应商应提供《非联合体不分包投标声明》。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陕西省知识产权局机关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陕西省西安市新城区新城大院省政府大楼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宁老师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029-63916882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胡怡洁 王宇轩 崔文 曹婷 马演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采购包1保证金金额：15,316.00元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开户银行：中国银行西安北大街支行营业部</w:t>
            </w:r>
          </w:p>
          <w:p>
            <w:pPr>
              <w:pStyle w:val="null3"/>
            </w:pPr>
            <w:r>
              <w:rPr>
                <w:rFonts w:ascii="仿宋_GB2312" w:hAnsi="仿宋_GB2312" w:cs="仿宋_GB2312" w:eastAsia="仿宋_GB2312"/>
              </w:rPr>
              <w:t>银行账号：102119413784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代理服务费收费标准：参照国家计委计价格〔2002〕1980号及发改办价格〔2003〕857号通知规定计取，由成交供应商支付代理服务费。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陕西省知识产权局机关</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陕西省知识产权局机关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陕西省知识产权局机关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 王宇轩 蔡丹</w:t>
      </w:r>
    </w:p>
    <w:p>
      <w:pPr>
        <w:pStyle w:val="null3"/>
      </w:pPr>
      <w:r>
        <w:rPr>
          <w:rFonts w:ascii="仿宋_GB2312" w:hAnsi="仿宋_GB2312" w:cs="仿宋_GB2312" w:eastAsia="仿宋_GB2312"/>
        </w:rPr>
        <w:t>联系电话：029-88110800转8030（1041800645@qq.com）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陕西省知识产权强省建设成果发布推广项目</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陕西省知识产权强省建设成果发布推广项目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标的名称：陕西省知识产权强省建设成果发布推广项目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rPr>
              <w:t>一、项目基本情况</w:t>
            </w:r>
          </w:p>
          <w:p>
            <w:pPr>
              <w:pStyle w:val="null3"/>
              <w:ind w:firstLine="480"/>
            </w:pPr>
            <w:r>
              <w:rPr>
                <w:rFonts w:ascii="仿宋_GB2312" w:hAnsi="仿宋_GB2312" w:cs="仿宋_GB2312" w:eastAsia="仿宋_GB2312"/>
                <w:sz w:val="24"/>
              </w:rPr>
              <w:t>（一）项目名称</w:t>
            </w:r>
          </w:p>
          <w:p>
            <w:pPr>
              <w:pStyle w:val="null3"/>
              <w:ind w:firstLine="480"/>
            </w:pPr>
            <w:r>
              <w:rPr>
                <w:rFonts w:ascii="仿宋_GB2312" w:hAnsi="仿宋_GB2312" w:cs="仿宋_GB2312" w:eastAsia="仿宋_GB2312"/>
                <w:sz w:val="24"/>
              </w:rPr>
              <w:t>陕西省知识产权强省建设成果发布推广项目。</w:t>
            </w:r>
          </w:p>
          <w:p>
            <w:pPr>
              <w:pStyle w:val="null3"/>
              <w:ind w:firstLine="480"/>
            </w:pPr>
            <w:r>
              <w:rPr>
                <w:rFonts w:ascii="仿宋_GB2312" w:hAnsi="仿宋_GB2312" w:cs="仿宋_GB2312" w:eastAsia="仿宋_GB2312"/>
                <w:sz w:val="24"/>
              </w:rPr>
              <w:t>（二）采购内容</w:t>
            </w:r>
          </w:p>
          <w:p>
            <w:pPr>
              <w:pStyle w:val="null3"/>
              <w:ind w:firstLine="480"/>
            </w:pPr>
            <w:r>
              <w:rPr>
                <w:rFonts w:ascii="仿宋_GB2312" w:hAnsi="仿宋_GB2312" w:cs="仿宋_GB2312" w:eastAsia="仿宋_GB2312"/>
                <w:sz w:val="24"/>
              </w:rPr>
              <w:t>供应商需完成陕西省知识产权强省建设成果梳理汇编、发布会组织、展示设计制作、宣传推广、视频拍摄制作、物料设计印刷、现场执行、媒体对接及全流程配套服务。</w:t>
            </w:r>
          </w:p>
          <w:p>
            <w:pPr>
              <w:pStyle w:val="null3"/>
              <w:ind w:firstLine="480"/>
            </w:pPr>
            <w:r>
              <w:rPr>
                <w:rFonts w:ascii="仿宋_GB2312" w:hAnsi="仿宋_GB2312" w:cs="仿宋_GB2312" w:eastAsia="仿宋_GB2312"/>
                <w:sz w:val="24"/>
              </w:rPr>
              <w:t>（三）项目目标</w:t>
            </w:r>
          </w:p>
          <w:p>
            <w:pPr>
              <w:pStyle w:val="null3"/>
              <w:ind w:firstLine="480"/>
            </w:pPr>
            <w:r>
              <w:rPr>
                <w:rFonts w:ascii="仿宋_GB2312" w:hAnsi="仿宋_GB2312" w:cs="仿宋_GB2312" w:eastAsia="仿宋_GB2312"/>
                <w:sz w:val="24"/>
              </w:rPr>
              <w:t>全面展示陕西省知识产权强省建设阶段性成效，系统梳理政策创新、专利创造、转化运用、保护体系、服务生态等成果；通过权威发布、集中展示、宣传推广、经验交流等形式，提升社会知晓度与影响力，营造尊重知识产权的良好氛围；总结可复制推广的经验模式，为持续推进知识产权强省建设提供支撑，助力创新驱动发展战略落地，擦亮区域知识产权工作品牌，为西部示范知识产权强省建设提供舆论支撑与决策参考。</w:t>
            </w:r>
          </w:p>
          <w:p>
            <w:pPr>
              <w:pStyle w:val="null3"/>
            </w:pPr>
            <w:r>
              <w:rPr>
                <w:rFonts w:ascii="仿宋_GB2312" w:hAnsi="仿宋_GB2312" w:cs="仿宋_GB2312" w:eastAsia="仿宋_GB2312"/>
                <w:sz w:val="24"/>
              </w:rPr>
              <w:t>二、项目要求</w:t>
            </w:r>
          </w:p>
          <w:p>
            <w:pPr>
              <w:pStyle w:val="null3"/>
              <w:ind w:firstLine="480"/>
            </w:pPr>
            <w:r>
              <w:rPr>
                <w:rFonts w:ascii="仿宋_GB2312" w:hAnsi="仿宋_GB2312" w:cs="仿宋_GB2312" w:eastAsia="仿宋_GB2312"/>
                <w:sz w:val="24"/>
              </w:rPr>
              <w:t>（一）成果梳理汇编要求</w:t>
            </w:r>
          </w:p>
          <w:p>
            <w:pPr>
              <w:pStyle w:val="null3"/>
              <w:ind w:firstLine="480"/>
            </w:pPr>
            <w:r>
              <w:rPr>
                <w:rFonts w:ascii="仿宋_GB2312" w:hAnsi="仿宋_GB2312" w:cs="仿宋_GB2312" w:eastAsia="仿宋_GB2312"/>
                <w:sz w:val="24"/>
              </w:rPr>
              <w:t>系统梳理陕西省知识产权强省建设以来在政策创新、专利创造、转化运用、保护体系、服务生态五大维度的阶段性成果，形成完整、规范的成果汇编手册，手册需包含文字、数据、案例等内容，数据真实准确、案例典型具有代表性。</w:t>
            </w:r>
          </w:p>
          <w:p>
            <w:pPr>
              <w:pStyle w:val="null3"/>
              <w:ind w:firstLine="480"/>
            </w:pPr>
            <w:r>
              <w:rPr>
                <w:rFonts w:ascii="仿宋_GB2312" w:hAnsi="仿宋_GB2312" w:cs="仿宋_GB2312" w:eastAsia="仿宋_GB2312"/>
                <w:sz w:val="24"/>
              </w:rPr>
              <w:t>（二）发布会组织要求</w:t>
            </w:r>
          </w:p>
          <w:p>
            <w:pPr>
              <w:pStyle w:val="null3"/>
              <w:ind w:firstLine="480"/>
            </w:pPr>
            <w:r>
              <w:rPr>
                <w:rFonts w:ascii="仿宋_GB2312" w:hAnsi="仿宋_GB2312" w:cs="仿宋_GB2312" w:eastAsia="仿宋_GB2312"/>
                <w:sz w:val="24"/>
              </w:rPr>
              <w:t>负责发布会全流程策划与执行，包括场地选址、会场布置、嘉宾邀请、流程设计、现场主持、后勤保障、应急处理等；场地方面，须选用交通便利、设施完善的室内专业会议场地，场地面积不低于</w:t>
            </w:r>
            <w:r>
              <w:rPr>
                <w:rFonts w:ascii="仿宋_GB2312" w:hAnsi="仿宋_GB2312" w:cs="仿宋_GB2312" w:eastAsia="仿宋_GB2312"/>
                <w:sz w:val="24"/>
              </w:rPr>
              <w:t>26</w:t>
            </w:r>
            <w:r>
              <w:rPr>
                <w:rFonts w:ascii="仿宋_GB2312" w:hAnsi="仿宋_GB2312" w:cs="仿宋_GB2312" w:eastAsia="仿宋_GB2312"/>
                <w:sz w:val="24"/>
              </w:rPr>
              <w:t>0</w:t>
            </w:r>
            <w:r>
              <w:rPr>
                <w:rFonts w:ascii="仿宋_GB2312" w:hAnsi="仿宋_GB2312" w:cs="仿宋_GB2312" w:eastAsia="仿宋_GB2312"/>
                <w:sz w:val="24"/>
              </w:rPr>
              <w:t>平方米，需满足主舞台区、嘉宾席、媒体区、签到区等功能分区需求，并负责现场音视频、灯光、网络等设备保障。会场布置需突出“知识产权强省建设主题，贴合陕西地域特色与知识产权工作特点。</w:t>
            </w:r>
          </w:p>
          <w:p>
            <w:pPr>
              <w:pStyle w:val="null3"/>
              <w:ind w:firstLine="480"/>
            </w:pPr>
            <w:r>
              <w:rPr>
                <w:rFonts w:ascii="仿宋_GB2312" w:hAnsi="仿宋_GB2312" w:cs="仿宋_GB2312" w:eastAsia="仿宋_GB2312"/>
                <w:sz w:val="24"/>
              </w:rPr>
              <w:t>（三）展示设计制作要求</w:t>
            </w:r>
          </w:p>
          <w:p>
            <w:pPr>
              <w:pStyle w:val="null3"/>
              <w:ind w:firstLine="480"/>
            </w:pPr>
            <w:r>
              <w:rPr>
                <w:rFonts w:ascii="仿宋_GB2312" w:hAnsi="仿宋_GB2312" w:cs="仿宋_GB2312" w:eastAsia="仿宋_GB2312"/>
                <w:sz w:val="24"/>
              </w:rPr>
              <w:t>围绕知识产权强省建设成果，设计制作线下展示展区，线下展示包含展板、展架、实物展陈等形式；</w:t>
            </w:r>
          </w:p>
          <w:p>
            <w:pPr>
              <w:pStyle w:val="null3"/>
              <w:ind w:firstLine="480"/>
            </w:pPr>
            <w:r>
              <w:rPr>
                <w:rFonts w:ascii="仿宋_GB2312" w:hAnsi="仿宋_GB2312" w:cs="仿宋_GB2312" w:eastAsia="仿宋_GB2312"/>
                <w:sz w:val="24"/>
              </w:rPr>
              <w:t>展示设计需主题鲜明、视觉效果佳，内容与成果汇编高度契合，突出陕西知识产权工作的亮点和特色。</w:t>
            </w:r>
          </w:p>
          <w:p>
            <w:pPr>
              <w:pStyle w:val="null3"/>
              <w:ind w:firstLine="480"/>
            </w:pPr>
            <w:r>
              <w:rPr>
                <w:rFonts w:ascii="仿宋_GB2312" w:hAnsi="仿宋_GB2312" w:cs="仿宋_GB2312" w:eastAsia="仿宋_GB2312"/>
                <w:sz w:val="24"/>
              </w:rPr>
              <w:t>（四）视频拍摄制作要求</w:t>
            </w:r>
          </w:p>
          <w:p>
            <w:pPr>
              <w:pStyle w:val="null3"/>
              <w:ind w:firstLine="480"/>
            </w:pPr>
            <w:r>
              <w:rPr>
                <w:rFonts w:ascii="仿宋_GB2312" w:hAnsi="仿宋_GB2312" w:cs="仿宋_GB2312" w:eastAsia="仿宋_GB2312"/>
                <w:sz w:val="24"/>
              </w:rPr>
              <w:t>拍摄制作陕西省知识产权强省建设成果宣传视频，视频包含不少于</w:t>
            </w:r>
            <w:r>
              <w:rPr>
                <w:rFonts w:ascii="仿宋_GB2312" w:hAnsi="仿宋_GB2312" w:cs="仿宋_GB2312" w:eastAsia="仿宋_GB2312"/>
                <w:sz w:val="24"/>
              </w:rPr>
              <w:t>3</w:t>
            </w:r>
            <w:r>
              <w:rPr>
                <w:rFonts w:ascii="仿宋_GB2312" w:hAnsi="仿宋_GB2312" w:cs="仿宋_GB2312" w:eastAsia="仿宋_GB2312"/>
                <w:sz w:val="24"/>
              </w:rPr>
              <w:t>条的系列短视频，每条</w:t>
            </w:r>
            <w:r>
              <w:rPr>
                <w:rFonts w:ascii="仿宋_GB2312" w:hAnsi="仿宋_GB2312" w:cs="仿宋_GB2312" w:eastAsia="仿宋_GB2312"/>
                <w:sz w:val="24"/>
              </w:rPr>
              <w:t>1-3</w:t>
            </w:r>
            <w:r>
              <w:rPr>
                <w:rFonts w:ascii="仿宋_GB2312" w:hAnsi="仿宋_GB2312" w:cs="仿宋_GB2312" w:eastAsia="仿宋_GB2312"/>
                <w:sz w:val="24"/>
              </w:rPr>
              <w:t>分钟，分别适用于发布会播放、全媒体平台传播。</w:t>
            </w:r>
          </w:p>
          <w:p>
            <w:pPr>
              <w:pStyle w:val="null3"/>
              <w:ind w:firstLine="480"/>
            </w:pPr>
            <w:r>
              <w:rPr>
                <w:rFonts w:ascii="仿宋_GB2312" w:hAnsi="仿宋_GB2312" w:cs="仿宋_GB2312" w:eastAsia="仿宋_GB2312"/>
                <w:sz w:val="24"/>
              </w:rPr>
              <w:t>（五）宣传推广要求</w:t>
            </w:r>
          </w:p>
          <w:p>
            <w:pPr>
              <w:pStyle w:val="null3"/>
              <w:ind w:firstLine="480"/>
            </w:pPr>
            <w:r>
              <w:rPr>
                <w:rFonts w:ascii="仿宋_GB2312" w:hAnsi="仿宋_GB2312" w:cs="仿宋_GB2312" w:eastAsia="仿宋_GB2312"/>
                <w:sz w:val="24"/>
              </w:rPr>
              <w:t>制定全方位的宣传推广方案，整合各级媒体资源，涵盖传统媒体（电视、报纸、广播）和新媒体（微信公众号、抖音、行业网站等）；媒体宣传须覆盖国家级主流媒体不少于</w:t>
            </w:r>
            <w:r>
              <w:rPr>
                <w:rFonts w:ascii="仿宋_GB2312" w:hAnsi="仿宋_GB2312" w:cs="仿宋_GB2312" w:eastAsia="仿宋_GB2312"/>
                <w:sz w:val="24"/>
              </w:rPr>
              <w:t>2</w:t>
            </w:r>
            <w:r>
              <w:rPr>
                <w:rFonts w:ascii="仿宋_GB2312" w:hAnsi="仿宋_GB2312" w:cs="仿宋_GB2312" w:eastAsia="仿宋_GB2312"/>
                <w:sz w:val="24"/>
              </w:rPr>
              <w:t>家，省级主流媒体不少于</w:t>
            </w:r>
            <w:r>
              <w:rPr>
                <w:rFonts w:ascii="仿宋_GB2312" w:hAnsi="仿宋_GB2312" w:cs="仿宋_GB2312" w:eastAsia="仿宋_GB2312"/>
                <w:sz w:val="24"/>
              </w:rPr>
              <w:t>3</w:t>
            </w:r>
            <w:r>
              <w:rPr>
                <w:rFonts w:ascii="仿宋_GB2312" w:hAnsi="仿宋_GB2312" w:cs="仿宋_GB2312" w:eastAsia="仿宋_GB2312"/>
                <w:sz w:val="24"/>
              </w:rPr>
              <w:t>家，</w:t>
            </w:r>
            <w:r>
              <w:rPr>
                <w:rFonts w:ascii="仿宋_GB2312" w:hAnsi="仿宋_GB2312" w:cs="仿宋_GB2312" w:eastAsia="仿宋_GB2312"/>
                <w:sz w:val="24"/>
              </w:rPr>
              <w:t>市级媒体不少于5家</w:t>
            </w:r>
            <w:r>
              <w:rPr>
                <w:rFonts w:ascii="仿宋_GB2312" w:hAnsi="仿宋_GB2312" w:cs="仿宋_GB2312" w:eastAsia="仿宋_GB2312"/>
                <w:sz w:val="24"/>
              </w:rPr>
              <w:t>。</w:t>
            </w:r>
          </w:p>
          <w:p>
            <w:pPr>
              <w:pStyle w:val="null3"/>
              <w:ind w:firstLine="480"/>
            </w:pPr>
            <w:r>
              <w:rPr>
                <w:rFonts w:ascii="仿宋_GB2312" w:hAnsi="仿宋_GB2312" w:cs="仿宋_GB2312" w:eastAsia="仿宋_GB2312"/>
                <w:sz w:val="24"/>
              </w:rPr>
              <w:t>负责媒体对接、稿件撰写、内容发布、话题运营等工作，发布会前进行预热宣传、发布会中进行实时报道、发布会后进行深度解读，形成宣传闭环。</w:t>
            </w:r>
          </w:p>
          <w:p>
            <w:pPr>
              <w:pStyle w:val="null3"/>
              <w:ind w:firstLine="480"/>
            </w:pPr>
            <w:r>
              <w:rPr>
                <w:rFonts w:ascii="仿宋_GB2312" w:hAnsi="仿宋_GB2312" w:cs="仿宋_GB2312" w:eastAsia="仿宋_GB2312"/>
                <w:sz w:val="24"/>
              </w:rPr>
              <w:t>（六）物料设计印刷要求</w:t>
            </w:r>
          </w:p>
          <w:p>
            <w:pPr>
              <w:pStyle w:val="null3"/>
              <w:ind w:firstLine="480"/>
            </w:pPr>
            <w:r>
              <w:rPr>
                <w:rFonts w:ascii="仿宋_GB2312" w:hAnsi="仿宋_GB2312" w:cs="仿宋_GB2312" w:eastAsia="仿宋_GB2312"/>
                <w:sz w:val="24"/>
              </w:rPr>
              <w:t>负责本次项目所有配套物料的设计与印刷，包括成果汇编手册、嘉宾证、参会证、海报等；</w:t>
            </w:r>
          </w:p>
          <w:p>
            <w:pPr>
              <w:pStyle w:val="null3"/>
              <w:ind w:firstLine="480"/>
            </w:pPr>
            <w:r>
              <w:rPr>
                <w:rFonts w:ascii="仿宋_GB2312" w:hAnsi="仿宋_GB2312" w:cs="仿宋_GB2312" w:eastAsia="仿宋_GB2312"/>
                <w:sz w:val="24"/>
              </w:rPr>
              <w:t>印刷物料需保证纸张质量、印刷工艺，数量满足采购人需求，按时完成制作并送达指定地点。</w:t>
            </w:r>
          </w:p>
          <w:p>
            <w:pPr>
              <w:pStyle w:val="null3"/>
              <w:ind w:firstLine="480"/>
            </w:pPr>
            <w:r>
              <w:rPr>
                <w:rFonts w:ascii="仿宋_GB2312" w:hAnsi="仿宋_GB2312" w:cs="仿宋_GB2312" w:eastAsia="仿宋_GB2312"/>
                <w:sz w:val="24"/>
              </w:rPr>
              <w:t>（七）全流程配套服务要求</w:t>
            </w:r>
          </w:p>
          <w:p>
            <w:pPr>
              <w:pStyle w:val="null3"/>
              <w:ind w:firstLine="480"/>
            </w:pPr>
            <w:r>
              <w:rPr>
                <w:rFonts w:ascii="仿宋_GB2312" w:hAnsi="仿宋_GB2312" w:cs="仿宋_GB2312" w:eastAsia="仿宋_GB2312"/>
                <w:sz w:val="24"/>
              </w:rPr>
              <w:t>成立专属项目服务团队，提供</w:t>
            </w:r>
            <w:r>
              <w:rPr>
                <w:rFonts w:ascii="仿宋_GB2312" w:hAnsi="仿宋_GB2312" w:cs="仿宋_GB2312" w:eastAsia="仿宋_GB2312"/>
                <w:sz w:val="24"/>
              </w:rPr>
              <w:t>7</w:t>
            </w:r>
            <w:r>
              <w:rPr>
                <w:rFonts w:ascii="仿宋_GB2312" w:hAnsi="仿宋_GB2312" w:cs="仿宋_GB2312" w:eastAsia="仿宋_GB2312"/>
                <w:sz w:val="24"/>
              </w:rPr>
              <w:t>×</w:t>
            </w:r>
            <w:r>
              <w:rPr>
                <w:rFonts w:ascii="仿宋_GB2312" w:hAnsi="仿宋_GB2312" w:cs="仿宋_GB2312" w:eastAsia="仿宋_GB2312"/>
                <w:sz w:val="24"/>
              </w:rPr>
              <w:t>24</w:t>
            </w:r>
            <w:r>
              <w:rPr>
                <w:rFonts w:ascii="仿宋_GB2312" w:hAnsi="仿宋_GB2312" w:cs="仿宋_GB2312" w:eastAsia="仿宋_GB2312"/>
                <w:sz w:val="24"/>
              </w:rPr>
              <w:t>小时沟通对接服务，及时响应采购人的需求和问题，定期向采购人汇报项目进展情况；</w:t>
            </w:r>
          </w:p>
          <w:p>
            <w:pPr>
              <w:pStyle w:val="null3"/>
              <w:ind w:firstLine="480"/>
            </w:pPr>
            <w:r>
              <w:rPr>
                <w:rFonts w:ascii="仿宋_GB2312" w:hAnsi="仿宋_GB2312" w:cs="仿宋_GB2312" w:eastAsia="仿宋_GB2312"/>
                <w:sz w:val="24"/>
              </w:rPr>
              <w:t>负责项目所有环节的资料整理与归档，项目结束后向采购人提交完整的项目资料包，包括策划方案、执行记录、宣传数据、成果物料、视频素材等；</w:t>
            </w:r>
          </w:p>
          <w:p>
            <w:pPr>
              <w:pStyle w:val="null3"/>
              <w:ind w:firstLine="480"/>
            </w:pPr>
            <w:r>
              <w:rPr>
                <w:rFonts w:ascii="仿宋_GB2312" w:hAnsi="仿宋_GB2312" w:cs="仿宋_GB2312" w:eastAsia="仿宋_GB2312"/>
                <w:sz w:val="24"/>
              </w:rPr>
              <w:t>项目完成后，组织成果验收工作，配合采购人完成验收报告的撰写，针对验收中提出的问题及时整改。</w:t>
            </w:r>
          </w:p>
          <w:p>
            <w:pPr>
              <w:pStyle w:val="null3"/>
              <w:ind w:firstLine="480"/>
            </w:pP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按项目需求配置</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合同签订后至 2026 年 10月 31 日前</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陕西省知识产权局指定地点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①质量标准，符合国家行业相关标准。②验收：根据磋商文件、成交供应商响应文件和合同文本执行。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70.00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项目完成并验收合格后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（2）未按合同要求提供的服务，采购人会同采购代理机构有权终止合同和对成交投标人的违约行为进行追究。 （3）成交供应商不能按期完成工作任务，每超过提交日期一天支付合同价款的千分之一，返还予采购人，作为赔偿。</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磋商保证金注意事项：（1）磋商保证金须从供应商户名支付，如从个人户名或非供应商户名支付，将被拒绝，视为自动放弃投标权利（该个人是供应商的情形除外）；以保函形式交纳磋商保证金的，供应商应在响应截止时间前将保函扫描成清晰的PDF文件，发送至邮箱2559647209@qq.com（邮件命名：项目编号），并将保函原件单独递交至代理机构财务；供应商应在磋商文件中附保函复印件。保函必须由具有开具投标保函资格的单位开具；若供应商违约，开具保函单位承担连带责任；（2）磋商保证金的提交金额、时间不满足磋商文件要求的，投标无效；（3）磋商保证金以采购代理机构到账凭证为准，供应商无需更换交纳凭证，由采购代理机构统一提供。（4）未按指定账户提交的，我公司将退回，供应商须在文件递交截止时间前按照指定账户再次提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3月（含3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3月（含3月）以来至少一个月已缴纳的社会保障资金的证明（社会保障资金缴存单据或社保机构开具的社会保险参保缴费情况证明等）；依法不需要缴纳社会保障资金的供应商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2024年度或2025年度审计报告（审计报告须具有注册会计师行业统一监管平台赋予的验证码）（成立时间至提交投标文件截止时间不足一年的可提供成立后任意时段的资产负债表），或提交自2025年10月1日以来银行出具的资信证明，或信用担保机构出具的投标担保函（以上三种形式的资料提供任何一种即可）；其他组织和自然人提供银行出具的资信证明或财务报表。 注：供应商需在项目电子化交易系统中按要求上传相应证明文件并进行电子签章。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供应商需在项目电子化交易系统中按要求填写《响应函》完成承诺并进行电子签章、提供直接控股和直接管理关系清单。若与其他供应商存在单位负责人为同一人或者存在直接控股、管理关系的，则投标无效。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本项目为专门面向小微企业采购，供应商应为小型、微型企业或监狱企业或残疾人福利性单位。供应商为小型、微型企业的，提供《中小企业声明函》；供应商为监狱企业的，应提供监狱企业的证明文件；供应商为残疾人福利性单位的，应提供《残疾人福利性单位声明函》。</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法定代表人参加磋商的，须提供法定代表人身份证复印件；法定代表人授权本单位他人参加磋商的，须提供法定代表人授权委托书。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本项目不接受联合体磋商，不允许分包。供应商应提供《非联合体不分包投标声明》。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在磋商过程中出现下列情形之一的，磋商小组应当启动异常低价磋商审查程序：①磋商报价低于全部通过符合性审查供应商磋商报价平均值50%的，即磋商报价&lt;全部通过符合性审查供应商磋商报价平均值×50%； ②磋商报价低于通过符合性审查的次低报价供应商磋商报价50%的，即磋商报价&lt;通过符合性审查的次低报价供应商磋商报价×50%； ③磋商报价低于采购项目最高限价45%的，即磋商报价&lt;采购项目最高限价×45%； ④供应商基于专业判断，认为供应商报价过低，有可能影响产品质量或者不能诚信履约的其他情形。 二、磋商小组启动异常低价投标审查后，属于前述①至④情形的，应当要求相关供应商在评审现场合理的时间（30分钟）内对磋商价格作出解释，提供项目具体成本测算等与报价合理性相关的书面说明及必要的证明材料。书面说明应当包括：（1）按照国家财务会计制度的规定要求，逐项就供应商提供的货物、工程和服务的主营业务成本（应根据供应商企业类型予以区别）、税金及附加、原材料成本、人工成本、制造费用、销售费用、管理费用、财务费用等成本构成事项详细陈述。 （2）供应商以前完成类似规模项目与类似价格的业绩证明材料（合同、发票）。其中，属于③情形，供应商已随响应文件一并提交相关书面说明及必要的证明材料的，在评审现场可不再重复提交。 三、供应商提交的相关说明和证明材料，应当加盖供应商（法定名称）电子印章，在磋商小组要求的时间内通过项目电子化交易系统进行提交，否则提交的相关证明材料无效。供应商不能证明其磋商报价合理性的或未在规定时间提交上述（1）（2）材料的或者提供的材料不齐全的或者提供的材料不被专家认可的，磋商小组均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其他内容</w:t>
            </w:r>
          </w:p>
        </w:tc>
        <w:tc>
          <w:tcPr>
            <w:tcW w:type="dxa" w:w="3322"/>
          </w:tcPr>
          <w:p>
            <w:pPr>
              <w:pStyle w:val="null3"/>
            </w:pPr>
            <w:r>
              <w:rPr>
                <w:rFonts w:ascii="仿宋_GB2312" w:hAnsi="仿宋_GB2312" w:cs="仿宋_GB2312" w:eastAsia="仿宋_GB2312"/>
              </w:rPr>
              <w:t>有下列情形之一的，应在符合性审查时按照无效响应处理：（1）响应文件未按照磋商文件规定要求签署、盖章的；（2）不满足本磋商文件中“服务期限、服务地点、采购资金的支付方式及约定”的实质性条款要求的； （3）响应文件有效期不足的或无有效期的； （4）报价超过磋商文件中规定的预算金额或最高限价的；（5）法律、法规和磋商文件规定的其他无效情形。</w:t>
            </w:r>
          </w:p>
        </w:tc>
        <w:tc>
          <w:tcPr>
            <w:tcW w:type="dxa" w:w="1661"/>
          </w:tcPr>
          <w:p>
            <w:pPr>
              <w:pStyle w:val="null3"/>
            </w:pPr>
            <w:r>
              <w:rPr>
                <w:rFonts w:ascii="仿宋_GB2312" w:hAnsi="仿宋_GB2312" w:cs="仿宋_GB2312" w:eastAsia="仿宋_GB2312"/>
              </w:rPr>
              <w:t>响应文件封面 标的清单 承诺书.docx 报价表 商务部分偏离表.docx 响应函 资格证明文件.docx 分项价格表.docx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整体方案</w:t>
            </w:r>
          </w:p>
        </w:tc>
        <w:tc>
          <w:tcPr>
            <w:tcW w:type="dxa" w:w="2492"/>
          </w:tcPr>
          <w:p>
            <w:pPr>
              <w:pStyle w:val="null3"/>
            </w:pPr>
            <w:r>
              <w:rPr>
                <w:rFonts w:ascii="仿宋_GB2312" w:hAnsi="仿宋_GB2312" w:cs="仿宋_GB2312" w:eastAsia="仿宋_GB2312"/>
              </w:rPr>
              <w:t>供应商结合项目特点、服务内容及要求制定项目整体方案，包括但不限于：①项目需求理解；②项目整体实施思路及规划；③实施进度计划及保障方案。 完全满足采购需求，无瑕疵，计9分； 方案内容每存在1处瑕疵扣1分； 未提供或内容存在9处及以上瑕疵：0分。 备注：本文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本表所有对于瑕疵定义的内容“同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服务响应偏离表.docx</w:t>
            </w:r>
          </w:p>
          <w:p>
            <w:pPr>
              <w:pStyle w:val="null3"/>
            </w:pPr>
            <w:r>
              <w:rPr>
                <w:rFonts w:ascii="仿宋_GB2312" w:hAnsi="仿宋_GB2312" w:cs="仿宋_GB2312" w:eastAsia="仿宋_GB2312"/>
              </w:rPr>
              <w:t>1整体方案.docx</w:t>
            </w:r>
          </w:p>
        </w:tc>
      </w:tr>
      <w:tr>
        <w:tc>
          <w:tcPr>
            <w:tcW w:type="dxa" w:w="831"/>
            <w:vMerge/>
          </w:tcPr>
          <w:p/>
        </w:tc>
        <w:tc>
          <w:tcPr>
            <w:tcW w:type="dxa" w:w="1661"/>
          </w:tcPr>
          <w:p>
            <w:pPr>
              <w:pStyle w:val="null3"/>
            </w:pPr>
            <w:r>
              <w:rPr>
                <w:rFonts w:ascii="仿宋_GB2312" w:hAnsi="仿宋_GB2312" w:cs="仿宋_GB2312" w:eastAsia="仿宋_GB2312"/>
              </w:rPr>
              <w:t>成果梳理汇编方案</w:t>
            </w:r>
          </w:p>
        </w:tc>
        <w:tc>
          <w:tcPr>
            <w:tcW w:type="dxa" w:w="2492"/>
          </w:tcPr>
          <w:p>
            <w:pPr>
              <w:pStyle w:val="null3"/>
            </w:pPr>
            <w:r>
              <w:rPr>
                <w:rFonts w:ascii="仿宋_GB2312" w:hAnsi="仿宋_GB2312" w:cs="仿宋_GB2312" w:eastAsia="仿宋_GB2312"/>
              </w:rPr>
              <w:t>供应商针对项目要求提供成果梳理汇编方案，包括但不限于：①阶段性成果数据整理、筛选；②成果汇编手册编制思路、编制规范；③文稿审核、校对。 完全满足采购需求，无瑕疵，计9分； 方案内容每存在1处瑕疵扣1分； 未提供或内容存在9处及以上瑕疵：0分。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2成果梳理汇编方案.docx</w:t>
            </w:r>
          </w:p>
        </w:tc>
      </w:tr>
      <w:tr>
        <w:tc>
          <w:tcPr>
            <w:tcW w:type="dxa" w:w="831"/>
            <w:vMerge/>
          </w:tcPr>
          <w:p/>
        </w:tc>
        <w:tc>
          <w:tcPr>
            <w:tcW w:type="dxa" w:w="1661"/>
          </w:tcPr>
          <w:p>
            <w:pPr>
              <w:pStyle w:val="null3"/>
            </w:pPr>
            <w:r>
              <w:rPr>
                <w:rFonts w:ascii="仿宋_GB2312" w:hAnsi="仿宋_GB2312" w:cs="仿宋_GB2312" w:eastAsia="仿宋_GB2312"/>
              </w:rPr>
              <w:t>发布会策划方案</w:t>
            </w:r>
          </w:p>
        </w:tc>
        <w:tc>
          <w:tcPr>
            <w:tcW w:type="dxa" w:w="2492"/>
          </w:tcPr>
          <w:p>
            <w:pPr>
              <w:pStyle w:val="null3"/>
            </w:pPr>
            <w:r>
              <w:rPr>
                <w:rFonts w:ascii="仿宋_GB2312" w:hAnsi="仿宋_GB2312" w:cs="仿宋_GB2312" w:eastAsia="仿宋_GB2312"/>
              </w:rPr>
              <w:t>供应商针对本项目要求，结合“知识产权强省”建设主题，贴合陕西地域特色与知识产权工作特点，提供发布会策划方案，内容包括但不限于：①发布会场地选址及场地规划；②嘉宾邀请方案；③活动流程规划；④发布会主持；⑤后勤保障方案（人员补充、交通保障、媒体组织、安全保障等）；⑥会场应急处理方案等。 完全满足采购需求，无瑕疵，计12分； 方案内容每存在1处瑕疵扣1分； 未提供或内容存在12处及以上瑕疵：0分。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3发布会策划方案.docx</w:t>
            </w:r>
          </w:p>
        </w:tc>
      </w:tr>
      <w:tr>
        <w:tc>
          <w:tcPr>
            <w:tcW w:type="dxa" w:w="831"/>
            <w:vMerge/>
          </w:tcPr>
          <w:p/>
        </w:tc>
        <w:tc>
          <w:tcPr>
            <w:tcW w:type="dxa" w:w="1661"/>
          </w:tcPr>
          <w:p>
            <w:pPr>
              <w:pStyle w:val="null3"/>
            </w:pPr>
            <w:r>
              <w:rPr>
                <w:rFonts w:ascii="仿宋_GB2312" w:hAnsi="仿宋_GB2312" w:cs="仿宋_GB2312" w:eastAsia="仿宋_GB2312"/>
              </w:rPr>
              <w:t>展示设计方案</w:t>
            </w:r>
          </w:p>
        </w:tc>
        <w:tc>
          <w:tcPr>
            <w:tcW w:type="dxa" w:w="2492"/>
          </w:tcPr>
          <w:p>
            <w:pPr>
              <w:pStyle w:val="null3"/>
            </w:pPr>
            <w:r>
              <w:rPr>
                <w:rFonts w:ascii="仿宋_GB2312" w:hAnsi="仿宋_GB2312" w:cs="仿宋_GB2312" w:eastAsia="仿宋_GB2312"/>
              </w:rPr>
              <w:t>供应商针对本项目要求，结合知识产权强省建设，提供展示设计方案，内容包括但不限于：①线下展示形式；②展示设计主题、思路；③进度计划及保障措施；④线下展示部署及浏览动线规划等。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4展示设计方案.docx</w:t>
            </w:r>
          </w:p>
        </w:tc>
      </w:tr>
      <w:tr>
        <w:tc>
          <w:tcPr>
            <w:tcW w:type="dxa" w:w="831"/>
            <w:vMerge/>
          </w:tcPr>
          <w:p/>
        </w:tc>
        <w:tc>
          <w:tcPr>
            <w:tcW w:type="dxa" w:w="1661"/>
          </w:tcPr>
          <w:p>
            <w:pPr>
              <w:pStyle w:val="null3"/>
            </w:pPr>
            <w:r>
              <w:rPr>
                <w:rFonts w:ascii="仿宋_GB2312" w:hAnsi="仿宋_GB2312" w:cs="仿宋_GB2312" w:eastAsia="仿宋_GB2312"/>
              </w:rPr>
              <w:t>视频拍摄方案</w:t>
            </w:r>
          </w:p>
        </w:tc>
        <w:tc>
          <w:tcPr>
            <w:tcW w:type="dxa" w:w="2492"/>
          </w:tcPr>
          <w:p>
            <w:pPr>
              <w:pStyle w:val="null3"/>
            </w:pPr>
            <w:r>
              <w:rPr>
                <w:rFonts w:ascii="仿宋_GB2312" w:hAnsi="仿宋_GB2312" w:cs="仿宋_GB2312" w:eastAsia="仿宋_GB2312"/>
              </w:rPr>
              <w:t>供应商针对本项目需求提供视频拍摄方案，包括但不限于：①视频主题策划；②拍摄思路；③视频剪辑及效果保障；④视频与不同宣传媒体、平台发布的适配方案等。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5视频拍摄方案.docx</w:t>
            </w:r>
          </w:p>
        </w:tc>
      </w:tr>
      <w:tr>
        <w:tc>
          <w:tcPr>
            <w:tcW w:type="dxa" w:w="831"/>
            <w:vMerge/>
          </w:tcPr>
          <w:p/>
        </w:tc>
        <w:tc>
          <w:tcPr>
            <w:tcW w:type="dxa" w:w="1661"/>
          </w:tcPr>
          <w:p>
            <w:pPr>
              <w:pStyle w:val="null3"/>
            </w:pPr>
            <w:r>
              <w:rPr>
                <w:rFonts w:ascii="仿宋_GB2312" w:hAnsi="仿宋_GB2312" w:cs="仿宋_GB2312" w:eastAsia="仿宋_GB2312"/>
              </w:rPr>
              <w:t>宣传推广方案</w:t>
            </w:r>
          </w:p>
        </w:tc>
        <w:tc>
          <w:tcPr>
            <w:tcW w:type="dxa" w:w="2492"/>
          </w:tcPr>
          <w:p>
            <w:pPr>
              <w:pStyle w:val="null3"/>
            </w:pPr>
            <w:r>
              <w:rPr>
                <w:rFonts w:ascii="仿宋_GB2312" w:hAnsi="仿宋_GB2312" w:cs="仿宋_GB2312" w:eastAsia="仿宋_GB2312"/>
              </w:rPr>
              <w:t>供应商针对本项目需求提供宣传推广方案，包括但不限于：①各级媒体及各类官方媒体宣传配合、对接方案，包含传统媒体（电视、报纸、广播）和新媒体（微信公众号、抖音、行业网站等）；②宣传稿件撰写、审核、校对及发布方案；③发布会前、中、后期宣传规划方案；④运营方案。 完全满足采购需求，无瑕疵，计8分； 方案内容每存在1处瑕疵扣1分； 未提供或内容存在8处及以上瑕疵：0分。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6宣传推广方案.docx</w:t>
            </w:r>
          </w:p>
        </w:tc>
      </w:tr>
      <w:tr>
        <w:tc>
          <w:tcPr>
            <w:tcW w:type="dxa" w:w="831"/>
            <w:vMerge/>
          </w:tcPr>
          <w:p/>
        </w:tc>
        <w:tc>
          <w:tcPr>
            <w:tcW w:type="dxa" w:w="1661"/>
          </w:tcPr>
          <w:p>
            <w:pPr>
              <w:pStyle w:val="null3"/>
            </w:pPr>
            <w:r>
              <w:rPr>
                <w:rFonts w:ascii="仿宋_GB2312" w:hAnsi="仿宋_GB2312" w:cs="仿宋_GB2312" w:eastAsia="仿宋_GB2312"/>
              </w:rPr>
              <w:t>物料设计方案</w:t>
            </w:r>
          </w:p>
        </w:tc>
        <w:tc>
          <w:tcPr>
            <w:tcW w:type="dxa" w:w="2492"/>
          </w:tcPr>
          <w:p>
            <w:pPr>
              <w:pStyle w:val="null3"/>
            </w:pPr>
            <w:r>
              <w:rPr>
                <w:rFonts w:ascii="仿宋_GB2312" w:hAnsi="仿宋_GB2312" w:cs="仿宋_GB2312" w:eastAsia="仿宋_GB2312"/>
              </w:rPr>
              <w:t>供应商结合本项目需求提供物料设计制作方案，包括但不限于：①物料种类选择及设计方案；②印刷工艺及质量保障方案；③物料发放方案等。 完全满足采购需求，无瑕疵，计6分； 方案内容每存在1处瑕疵扣1分； 未提供或内容存在6处及以上瑕疵：0分。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7物料设计方案.docx</w:t>
            </w:r>
          </w:p>
        </w:tc>
      </w:tr>
      <w:tr>
        <w:tc>
          <w:tcPr>
            <w:tcW w:type="dxa" w:w="831"/>
            <w:vMerge/>
          </w:tcPr>
          <w:p/>
        </w:tc>
        <w:tc>
          <w:tcPr>
            <w:tcW w:type="dxa" w:w="1661"/>
          </w:tcPr>
          <w:p>
            <w:pPr>
              <w:pStyle w:val="null3"/>
            </w:pPr>
            <w:r>
              <w:rPr>
                <w:rFonts w:ascii="仿宋_GB2312" w:hAnsi="仿宋_GB2312" w:cs="仿宋_GB2312" w:eastAsia="仿宋_GB2312"/>
              </w:rPr>
              <w:t>团队人员</w:t>
            </w:r>
          </w:p>
        </w:tc>
        <w:tc>
          <w:tcPr>
            <w:tcW w:type="dxa" w:w="2492"/>
          </w:tcPr>
          <w:p>
            <w:pPr>
              <w:pStyle w:val="null3"/>
            </w:pPr>
            <w:r>
              <w:rPr>
                <w:rFonts w:ascii="仿宋_GB2312" w:hAnsi="仿宋_GB2312" w:cs="仿宋_GB2312" w:eastAsia="仿宋_GB2312"/>
              </w:rPr>
              <w:t>供应商根据本项目需求配备专业团队，有项目负责人、有专业的策划、宣传、服务、执行以及收尾团队。提供团队成员配备情况、岗位职责分工及拟配备团队人员的简历介绍（包括人员的年龄、学历、专业、工作经验等信息）。 完全满足采购需求，无瑕疵，计10分； 方案内容每存在1处瑕疵扣1分； 未提供或内容存在10处及以上瑕疵：0分。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8团队人员.docx</w:t>
            </w:r>
          </w:p>
        </w:tc>
      </w:tr>
      <w:tr>
        <w:tc>
          <w:tcPr>
            <w:tcW w:type="dxa" w:w="831"/>
            <w:vMerge/>
          </w:tcPr>
          <w:p/>
        </w:tc>
        <w:tc>
          <w:tcPr>
            <w:tcW w:type="dxa" w:w="1661"/>
          </w:tcPr>
          <w:p>
            <w:pPr>
              <w:pStyle w:val="null3"/>
            </w:pPr>
            <w:r>
              <w:rPr>
                <w:rFonts w:ascii="仿宋_GB2312" w:hAnsi="仿宋_GB2312" w:cs="仿宋_GB2312" w:eastAsia="仿宋_GB2312"/>
              </w:rPr>
              <w:t>重难点分析</w:t>
            </w:r>
          </w:p>
        </w:tc>
        <w:tc>
          <w:tcPr>
            <w:tcW w:type="dxa" w:w="2492"/>
          </w:tcPr>
          <w:p>
            <w:pPr>
              <w:pStyle w:val="null3"/>
            </w:pPr>
            <w:r>
              <w:rPr>
                <w:rFonts w:ascii="仿宋_GB2312" w:hAnsi="仿宋_GB2312" w:cs="仿宋_GB2312" w:eastAsia="仿宋_GB2312"/>
              </w:rPr>
              <w:t>针对本次项目实施过程中的重点、难点分析。重难点分析清晰，重点把控及难点解决思路明确，解决措施可行性强，有助于项目实施。 完全满足采购需求，无瑕疵，计3分； 方案内容每存在1处瑕疵扣1分； 未提供或内容存在3处及以上瑕疵：0分。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9重难点分析.docx</w:t>
            </w:r>
          </w:p>
        </w:tc>
      </w:tr>
      <w:tr>
        <w:tc>
          <w:tcPr>
            <w:tcW w:type="dxa" w:w="831"/>
            <w:vMerge/>
          </w:tcPr>
          <w:p/>
        </w:tc>
        <w:tc>
          <w:tcPr>
            <w:tcW w:type="dxa" w:w="1661"/>
          </w:tcPr>
          <w:p>
            <w:pPr>
              <w:pStyle w:val="null3"/>
            </w:pPr>
            <w:r>
              <w:rPr>
                <w:rFonts w:ascii="仿宋_GB2312" w:hAnsi="仿宋_GB2312" w:cs="仿宋_GB2312" w:eastAsia="仿宋_GB2312"/>
              </w:rPr>
              <w:t>配套服务承诺</w:t>
            </w:r>
          </w:p>
        </w:tc>
        <w:tc>
          <w:tcPr>
            <w:tcW w:type="dxa" w:w="2492"/>
          </w:tcPr>
          <w:p>
            <w:pPr>
              <w:pStyle w:val="null3"/>
            </w:pPr>
            <w:r>
              <w:rPr>
                <w:rFonts w:ascii="仿宋_GB2312" w:hAnsi="仿宋_GB2312" w:cs="仿宋_GB2312" w:eastAsia="仿宋_GB2312"/>
              </w:rPr>
              <w:t>供应商针对本项目采购需求提供配套服务承诺： ①提供7×24小时沟通对接服务，及时响应采购人的需求和问题，定期向采购人汇报项目进展情况； ②负责项目所有环节的资料整理与归档，项目结束后向采购人提交完整的项目资料包，包括策划方案、执行记录、宣传数据、成果物料、视频素材等； ③项目完成后，组织成果验收工作，配合采购人完成验收报告的撰写，针对验收中提出的问题及时整改。 以上3项内容提供承诺函并加盖供应商公章，每提供1项计1分，满分3分。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10配套服务承诺.docx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1月1日至今同类项目合同扫描件（以合同签订日期为准），扫描件必须清晰体现签约主体和日期、项目名称及内容、合同金额等核心要素，否则不计为有效业绩。每提供1个有效业绩得2分，最高得10分。 备注：响应文件中提供合同扫描件加盖供应商公章。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11业绩.docx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供应商结合采购需求针对本项目提供合理化建议。每提供一项经磋商小组一致认定有利于项目实施的建议计1分，满分4分。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12合理化建议.docx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价格分统一采用低价优先法计算，即满足磋商文件要求且价格最低的磋商报价为评标基准价，其价格分为满分。其他供应商的价格分统一按照下列公式计算：价格分= (评标基准价／磋商报价)×报价分值 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详见附件：服务响应偏离表.docx</w:t>
      </w:r>
    </w:p>
    <w:p>
      <w:pPr>
        <w:pStyle w:val="null3"/>
        <w:ind w:firstLine="960"/>
      </w:pPr>
      <w:r>
        <w:rPr>
          <w:rFonts w:ascii="仿宋_GB2312" w:hAnsi="仿宋_GB2312" w:cs="仿宋_GB2312" w:eastAsia="仿宋_GB2312"/>
        </w:rPr>
        <w:t>详见附件：1整体方案.docx</w:t>
      </w:r>
    </w:p>
    <w:p>
      <w:pPr>
        <w:pStyle w:val="null3"/>
        <w:ind w:firstLine="960"/>
      </w:pPr>
      <w:r>
        <w:rPr>
          <w:rFonts w:ascii="仿宋_GB2312" w:hAnsi="仿宋_GB2312" w:cs="仿宋_GB2312" w:eastAsia="仿宋_GB2312"/>
        </w:rPr>
        <w:t>详见附件：2成果梳理汇编方案.docx</w:t>
      </w:r>
    </w:p>
    <w:p>
      <w:pPr>
        <w:pStyle w:val="null3"/>
        <w:ind w:firstLine="960"/>
      </w:pPr>
      <w:r>
        <w:rPr>
          <w:rFonts w:ascii="仿宋_GB2312" w:hAnsi="仿宋_GB2312" w:cs="仿宋_GB2312" w:eastAsia="仿宋_GB2312"/>
        </w:rPr>
        <w:t>详见附件：3发布会策划方案.docx</w:t>
      </w:r>
    </w:p>
    <w:p>
      <w:pPr>
        <w:pStyle w:val="null3"/>
        <w:ind w:firstLine="960"/>
      </w:pPr>
      <w:r>
        <w:rPr>
          <w:rFonts w:ascii="仿宋_GB2312" w:hAnsi="仿宋_GB2312" w:cs="仿宋_GB2312" w:eastAsia="仿宋_GB2312"/>
        </w:rPr>
        <w:t>详见附件：4展示设计方案.docx</w:t>
      </w:r>
    </w:p>
    <w:p>
      <w:pPr>
        <w:pStyle w:val="null3"/>
        <w:ind w:firstLine="960"/>
      </w:pPr>
      <w:r>
        <w:rPr>
          <w:rFonts w:ascii="仿宋_GB2312" w:hAnsi="仿宋_GB2312" w:cs="仿宋_GB2312" w:eastAsia="仿宋_GB2312"/>
        </w:rPr>
        <w:t>详见附件：5视频拍摄方案.docx</w:t>
      </w:r>
    </w:p>
    <w:p>
      <w:pPr>
        <w:pStyle w:val="null3"/>
        <w:ind w:firstLine="960"/>
      </w:pPr>
      <w:r>
        <w:rPr>
          <w:rFonts w:ascii="仿宋_GB2312" w:hAnsi="仿宋_GB2312" w:cs="仿宋_GB2312" w:eastAsia="仿宋_GB2312"/>
        </w:rPr>
        <w:t>详见附件：6宣传推广方案.docx</w:t>
      </w:r>
    </w:p>
    <w:p>
      <w:pPr>
        <w:pStyle w:val="null3"/>
        <w:ind w:firstLine="960"/>
      </w:pPr>
      <w:r>
        <w:rPr>
          <w:rFonts w:ascii="仿宋_GB2312" w:hAnsi="仿宋_GB2312" w:cs="仿宋_GB2312" w:eastAsia="仿宋_GB2312"/>
        </w:rPr>
        <w:t>详见附件：7物料设计方案.docx</w:t>
      </w:r>
    </w:p>
    <w:p>
      <w:pPr>
        <w:pStyle w:val="null3"/>
        <w:ind w:firstLine="960"/>
      </w:pPr>
      <w:r>
        <w:rPr>
          <w:rFonts w:ascii="仿宋_GB2312" w:hAnsi="仿宋_GB2312" w:cs="仿宋_GB2312" w:eastAsia="仿宋_GB2312"/>
        </w:rPr>
        <w:t>详见附件：8团队人员.docx</w:t>
      </w:r>
    </w:p>
    <w:p>
      <w:pPr>
        <w:pStyle w:val="null3"/>
        <w:ind w:firstLine="960"/>
      </w:pPr>
      <w:r>
        <w:rPr>
          <w:rFonts w:ascii="仿宋_GB2312" w:hAnsi="仿宋_GB2312" w:cs="仿宋_GB2312" w:eastAsia="仿宋_GB2312"/>
        </w:rPr>
        <w:t>详见附件：9重难点分析.docx</w:t>
      </w:r>
    </w:p>
    <w:p>
      <w:pPr>
        <w:pStyle w:val="null3"/>
        <w:ind w:firstLine="960"/>
      </w:pPr>
      <w:r>
        <w:rPr>
          <w:rFonts w:ascii="仿宋_GB2312" w:hAnsi="仿宋_GB2312" w:cs="仿宋_GB2312" w:eastAsia="仿宋_GB2312"/>
        </w:rPr>
        <w:t>详见附件：10配套服务承诺.docx</w:t>
      </w:r>
    </w:p>
    <w:p>
      <w:pPr>
        <w:pStyle w:val="null3"/>
        <w:ind w:firstLine="960"/>
      </w:pPr>
      <w:r>
        <w:rPr>
          <w:rFonts w:ascii="仿宋_GB2312" w:hAnsi="仿宋_GB2312" w:cs="仿宋_GB2312" w:eastAsia="仿宋_GB2312"/>
        </w:rPr>
        <w:t>详见附件：11业绩.docx</w:t>
      </w:r>
    </w:p>
    <w:p>
      <w:pPr>
        <w:pStyle w:val="null3"/>
        <w:ind w:firstLine="960"/>
      </w:pPr>
      <w:r>
        <w:rPr>
          <w:rFonts w:ascii="仿宋_GB2312" w:hAnsi="仿宋_GB2312" w:cs="仿宋_GB2312" w:eastAsia="仿宋_GB2312"/>
        </w:rPr>
        <w:t>详见附件：12合理化建议.docx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